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D7725" w:rsidRDefault="002D7725" w:rsidP="002D7725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327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77" w:rsidRDefault="00916677" w:rsidP="002D7725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16677" w:rsidRPr="00DB4DC1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="002D7725">
        <w:rPr>
          <w:rFonts w:ascii="Times New Roman" w:hAnsi="Times New Roman"/>
          <w:noProof/>
          <w:sz w:val="28"/>
          <w:szCs w:val="28"/>
        </w:rPr>
        <w:t>14.01.2025</w:t>
      </w:r>
      <w:r w:rsidR="0070568E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года № </w:t>
      </w:r>
      <w:r w:rsidR="002D7725">
        <w:rPr>
          <w:rFonts w:ascii="Times New Roman" w:hAnsi="Times New Roman"/>
          <w:noProof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r w:rsidRPr="00DB4DC1">
        <w:rPr>
          <w:rFonts w:ascii="Times New Roman" w:hAnsi="Times New Roman"/>
          <w:sz w:val="24"/>
          <w:szCs w:val="24"/>
        </w:rPr>
        <w:t>р.п.Романовка</w:t>
      </w:r>
    </w:p>
    <w:p w:rsidR="00331580" w:rsidRPr="00027C9E" w:rsidRDefault="00331580" w:rsidP="00331580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Об утверждении муниципальной  программы</w:t>
      </w:r>
    </w:p>
    <w:p w:rsidR="007B3C1F" w:rsidRPr="00027C9E" w:rsidRDefault="00331580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«</w:t>
      </w:r>
      <w:r w:rsidR="007B3C1F" w:rsidRPr="00027C9E">
        <w:rPr>
          <w:b/>
          <w:sz w:val="28"/>
          <w:szCs w:val="28"/>
        </w:rPr>
        <w:t xml:space="preserve">Обеспечение защиты прав потребителей </w:t>
      </w:r>
    </w:p>
    <w:p w:rsidR="00247567" w:rsidRPr="00027C9E" w:rsidRDefault="007B3C1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в </w:t>
      </w:r>
      <w:r w:rsidR="00C06C35" w:rsidRPr="00027C9E">
        <w:rPr>
          <w:b/>
          <w:sz w:val="28"/>
          <w:szCs w:val="28"/>
        </w:rPr>
        <w:t xml:space="preserve">Романовском </w:t>
      </w:r>
      <w:r w:rsidR="00247567" w:rsidRPr="00027C9E">
        <w:rPr>
          <w:b/>
          <w:sz w:val="28"/>
          <w:szCs w:val="28"/>
        </w:rPr>
        <w:t xml:space="preserve">муниципальном </w:t>
      </w:r>
      <w:r w:rsidR="00C06C35" w:rsidRPr="00027C9E">
        <w:rPr>
          <w:b/>
          <w:sz w:val="28"/>
          <w:szCs w:val="28"/>
        </w:rPr>
        <w:t>районе</w:t>
      </w:r>
    </w:p>
    <w:p w:rsidR="00331580" w:rsidRPr="00027C9E" w:rsidRDefault="004945D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на</w:t>
      </w:r>
      <w:r w:rsidR="007B3C1F" w:rsidRPr="00027C9E">
        <w:rPr>
          <w:b/>
          <w:sz w:val="28"/>
          <w:szCs w:val="28"/>
        </w:rPr>
        <w:t xml:space="preserve"> </w:t>
      </w:r>
      <w:r w:rsidR="00331580" w:rsidRPr="00027C9E">
        <w:rPr>
          <w:b/>
          <w:sz w:val="28"/>
          <w:szCs w:val="28"/>
        </w:rPr>
        <w:t xml:space="preserve"> 20</w:t>
      </w:r>
      <w:r w:rsidR="00A8551B">
        <w:rPr>
          <w:b/>
          <w:sz w:val="28"/>
          <w:szCs w:val="28"/>
        </w:rPr>
        <w:t>2</w:t>
      </w:r>
      <w:r w:rsidR="0070568E">
        <w:rPr>
          <w:b/>
          <w:sz w:val="28"/>
          <w:szCs w:val="28"/>
        </w:rPr>
        <w:t>5-2027</w:t>
      </w:r>
      <w:r w:rsidR="00331580" w:rsidRPr="00027C9E">
        <w:rPr>
          <w:b/>
          <w:sz w:val="28"/>
          <w:szCs w:val="28"/>
        </w:rPr>
        <w:t xml:space="preserve"> годы»</w:t>
      </w:r>
    </w:p>
    <w:p w:rsidR="00331580" w:rsidRPr="00027C9E" w:rsidRDefault="00331580" w:rsidP="00331580">
      <w:pPr>
        <w:rPr>
          <w:sz w:val="28"/>
          <w:szCs w:val="28"/>
        </w:rPr>
      </w:pPr>
    </w:p>
    <w:p w:rsidR="00C06C35" w:rsidRPr="00027C9E" w:rsidRDefault="00331580" w:rsidP="00331580">
      <w:pPr>
        <w:jc w:val="both"/>
        <w:rPr>
          <w:sz w:val="28"/>
          <w:szCs w:val="28"/>
        </w:rPr>
      </w:pPr>
      <w:r w:rsidRPr="00027C9E">
        <w:rPr>
          <w:sz w:val="28"/>
          <w:szCs w:val="28"/>
        </w:rPr>
        <w:tab/>
      </w:r>
      <w:r w:rsidR="000307D5" w:rsidRPr="00027C9E">
        <w:rPr>
          <w:sz w:val="28"/>
          <w:szCs w:val="28"/>
        </w:rPr>
        <w:t xml:space="preserve">В целях повышения уровня защиты прав  потребителей в </w:t>
      </w:r>
      <w:r w:rsidR="00C06C35" w:rsidRPr="00027C9E">
        <w:rPr>
          <w:sz w:val="28"/>
          <w:szCs w:val="28"/>
        </w:rPr>
        <w:t>Романовском</w:t>
      </w:r>
      <w:r w:rsidR="000307D5" w:rsidRPr="00027C9E"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 w:rsidR="000307D5" w:rsidRPr="00027C9E">
        <w:rPr>
          <w:sz w:val="28"/>
          <w:szCs w:val="28"/>
          <w:lang w:val="en-US"/>
        </w:rPr>
        <w:t>I</w:t>
      </w:r>
      <w:r w:rsidR="000307D5" w:rsidRPr="00027C9E">
        <w:rPr>
          <w:sz w:val="28"/>
          <w:szCs w:val="28"/>
        </w:rPr>
        <w:t xml:space="preserve"> «О защите прав потребителей», </w:t>
      </w:r>
      <w:r w:rsidR="00247567" w:rsidRPr="00027C9E">
        <w:rPr>
          <w:sz w:val="28"/>
          <w:szCs w:val="28"/>
        </w:rPr>
        <w:t>на основании Устава</w:t>
      </w:r>
      <w:r w:rsidRPr="00027C9E">
        <w:rPr>
          <w:sz w:val="28"/>
          <w:szCs w:val="28"/>
        </w:rPr>
        <w:t xml:space="preserve"> </w:t>
      </w:r>
      <w:r w:rsidR="00C06C35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 Саратовской области</w:t>
      </w:r>
      <w:r w:rsidR="000307D5" w:rsidRPr="00027C9E">
        <w:rPr>
          <w:sz w:val="28"/>
          <w:szCs w:val="28"/>
        </w:rPr>
        <w:t xml:space="preserve"> </w:t>
      </w:r>
      <w:r w:rsidR="00247567" w:rsidRPr="00027C9E">
        <w:rPr>
          <w:sz w:val="28"/>
          <w:szCs w:val="28"/>
        </w:rPr>
        <w:t>а</w:t>
      </w:r>
      <w:r w:rsidRPr="00027C9E">
        <w:rPr>
          <w:sz w:val="28"/>
          <w:szCs w:val="28"/>
        </w:rPr>
        <w:t xml:space="preserve">дминистрация </w:t>
      </w:r>
      <w:r w:rsidR="00C06C35" w:rsidRPr="00027C9E">
        <w:rPr>
          <w:sz w:val="28"/>
          <w:szCs w:val="28"/>
        </w:rPr>
        <w:t>Романовского</w:t>
      </w:r>
      <w:r w:rsidR="00247567" w:rsidRPr="00027C9E">
        <w:rPr>
          <w:sz w:val="28"/>
          <w:szCs w:val="28"/>
        </w:rPr>
        <w:t xml:space="preserve"> муниципального</w:t>
      </w:r>
      <w:r w:rsidR="00C06C35" w:rsidRPr="00027C9E">
        <w:rPr>
          <w:sz w:val="28"/>
          <w:szCs w:val="28"/>
        </w:rPr>
        <w:t xml:space="preserve"> </w:t>
      </w:r>
      <w:r w:rsidRPr="00027C9E">
        <w:rPr>
          <w:sz w:val="28"/>
          <w:szCs w:val="28"/>
        </w:rPr>
        <w:t xml:space="preserve">района </w:t>
      </w:r>
    </w:p>
    <w:p w:rsidR="00247567" w:rsidRPr="00027C9E" w:rsidRDefault="00247567" w:rsidP="00C06C35">
      <w:pPr>
        <w:jc w:val="center"/>
        <w:rPr>
          <w:b/>
          <w:sz w:val="28"/>
          <w:szCs w:val="28"/>
        </w:rPr>
      </w:pPr>
    </w:p>
    <w:p w:rsidR="00331580" w:rsidRPr="00027C9E" w:rsidRDefault="00331580" w:rsidP="00C06C35">
      <w:pPr>
        <w:jc w:val="center"/>
        <w:rPr>
          <w:sz w:val="28"/>
          <w:szCs w:val="28"/>
        </w:rPr>
      </w:pPr>
      <w:r w:rsidRPr="00027C9E">
        <w:rPr>
          <w:b/>
          <w:sz w:val="28"/>
          <w:szCs w:val="28"/>
        </w:rPr>
        <w:t>ПОСТАНОВЛЯЕТ</w:t>
      </w:r>
      <w:r w:rsidRPr="00027C9E">
        <w:rPr>
          <w:sz w:val="28"/>
          <w:szCs w:val="28"/>
        </w:rPr>
        <w:t>:</w:t>
      </w:r>
    </w:p>
    <w:p w:rsidR="00180572" w:rsidRPr="00027C9E" w:rsidRDefault="00180572" w:rsidP="00C06C35">
      <w:pPr>
        <w:jc w:val="center"/>
        <w:rPr>
          <w:sz w:val="28"/>
          <w:szCs w:val="28"/>
        </w:rPr>
      </w:pPr>
    </w:p>
    <w:p w:rsidR="00331580" w:rsidRPr="00D32E03" w:rsidRDefault="00331580" w:rsidP="00D32E03">
      <w:pPr>
        <w:pStyle w:val="ac"/>
        <w:numPr>
          <w:ilvl w:val="0"/>
          <w:numId w:val="2"/>
        </w:numPr>
        <w:ind w:left="57" w:hanging="57"/>
        <w:jc w:val="both"/>
        <w:rPr>
          <w:sz w:val="28"/>
          <w:szCs w:val="28"/>
        </w:rPr>
      </w:pPr>
      <w:r w:rsidRPr="00D32E03">
        <w:rPr>
          <w:sz w:val="28"/>
          <w:szCs w:val="28"/>
        </w:rPr>
        <w:t>Утвердить муниципальную программу «</w:t>
      </w:r>
      <w:r w:rsidR="000307D5" w:rsidRPr="00D32E03">
        <w:rPr>
          <w:sz w:val="28"/>
          <w:szCs w:val="28"/>
        </w:rPr>
        <w:t xml:space="preserve">Обеспечение защиты прав потребителей </w:t>
      </w:r>
      <w:r w:rsidRPr="00D32E03">
        <w:rPr>
          <w:sz w:val="28"/>
          <w:szCs w:val="28"/>
        </w:rPr>
        <w:t xml:space="preserve">в </w:t>
      </w:r>
      <w:r w:rsidR="00C06C35" w:rsidRPr="00D32E03">
        <w:rPr>
          <w:sz w:val="28"/>
          <w:szCs w:val="28"/>
        </w:rPr>
        <w:t>Романовском</w:t>
      </w:r>
      <w:r w:rsidRPr="00D32E03">
        <w:rPr>
          <w:sz w:val="28"/>
          <w:szCs w:val="28"/>
        </w:rPr>
        <w:t xml:space="preserve"> муниципальном  районе </w:t>
      </w:r>
      <w:r w:rsidR="00247567" w:rsidRPr="00D32E03">
        <w:rPr>
          <w:sz w:val="28"/>
          <w:szCs w:val="28"/>
        </w:rPr>
        <w:t>на</w:t>
      </w:r>
      <w:r w:rsidRPr="00D32E03">
        <w:rPr>
          <w:sz w:val="28"/>
          <w:szCs w:val="28"/>
        </w:rPr>
        <w:t xml:space="preserve"> 20</w:t>
      </w:r>
      <w:r w:rsidR="00D32E03" w:rsidRPr="00D32E03">
        <w:rPr>
          <w:sz w:val="28"/>
          <w:szCs w:val="28"/>
        </w:rPr>
        <w:t>2</w:t>
      </w:r>
      <w:r w:rsidR="0070568E">
        <w:rPr>
          <w:sz w:val="28"/>
          <w:szCs w:val="28"/>
        </w:rPr>
        <w:t>5</w:t>
      </w:r>
      <w:r w:rsidRPr="00D32E03">
        <w:rPr>
          <w:sz w:val="28"/>
          <w:szCs w:val="28"/>
        </w:rPr>
        <w:t xml:space="preserve"> – 20</w:t>
      </w:r>
      <w:r w:rsidR="0070568E">
        <w:rPr>
          <w:sz w:val="28"/>
          <w:szCs w:val="28"/>
        </w:rPr>
        <w:t>27</w:t>
      </w:r>
      <w:r w:rsidR="00AF4E0E" w:rsidRPr="00D32E03">
        <w:rPr>
          <w:sz w:val="28"/>
          <w:szCs w:val="28"/>
        </w:rPr>
        <w:t xml:space="preserve"> годы»,  согласно  приложению</w:t>
      </w:r>
      <w:r w:rsidRPr="00D32E03">
        <w:rPr>
          <w:sz w:val="28"/>
          <w:szCs w:val="28"/>
        </w:rPr>
        <w:t>.</w:t>
      </w:r>
    </w:p>
    <w:p w:rsidR="00D32E03" w:rsidRPr="00D32E03" w:rsidRDefault="00D32E03" w:rsidP="00D32E03">
      <w:pPr>
        <w:pStyle w:val="ac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70568E">
        <w:rPr>
          <w:sz w:val="28"/>
          <w:szCs w:val="28"/>
        </w:rPr>
        <w:t>06.12.2021</w:t>
      </w:r>
      <w:r>
        <w:rPr>
          <w:sz w:val="28"/>
          <w:szCs w:val="28"/>
        </w:rPr>
        <w:t xml:space="preserve"> года</w:t>
      </w:r>
      <w:r w:rsidR="006767CD">
        <w:rPr>
          <w:sz w:val="28"/>
          <w:szCs w:val="28"/>
        </w:rPr>
        <w:t xml:space="preserve"> № </w:t>
      </w:r>
      <w:r w:rsidR="0070568E">
        <w:rPr>
          <w:sz w:val="28"/>
          <w:szCs w:val="28"/>
        </w:rPr>
        <w:t>567</w:t>
      </w:r>
      <w:r w:rsidR="0067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утверждении муниципальной программы «Обеспечение защиты прав потребителей в Романовском муниципальном районе на 20</w:t>
      </w:r>
      <w:r w:rsidR="0070568E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70568E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 с 01.01.202</w:t>
      </w:r>
      <w:r w:rsidR="0070568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331580" w:rsidRPr="00027C9E" w:rsidRDefault="00D32E03" w:rsidP="00D32E0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580" w:rsidRPr="00027C9E">
        <w:rPr>
          <w:sz w:val="28"/>
          <w:szCs w:val="28"/>
        </w:rPr>
        <w:t xml:space="preserve">. Контроль за исполнением настоящего постановления </w:t>
      </w:r>
      <w:r w:rsidR="000307D5" w:rsidRPr="00027C9E">
        <w:rPr>
          <w:sz w:val="28"/>
          <w:szCs w:val="28"/>
        </w:rPr>
        <w:t xml:space="preserve">возложить на </w:t>
      </w:r>
      <w:r w:rsidR="00247567" w:rsidRPr="00027C9E">
        <w:rPr>
          <w:sz w:val="28"/>
          <w:szCs w:val="28"/>
        </w:rPr>
        <w:t>первого заместителя главы администрации муниципального района Рябинину Н.П.</w:t>
      </w: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027C9E">
      <w:pPr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247567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Глава 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муниципального района                                                </w:t>
      </w:r>
      <w:r w:rsidR="00247567" w:rsidRPr="00027C9E">
        <w:rPr>
          <w:b/>
          <w:sz w:val="28"/>
          <w:szCs w:val="28"/>
        </w:rPr>
        <w:t>А.И. Щербаков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166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568E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года   № </w:t>
      </w: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B93C08" w:rsidRPr="00916677" w:rsidRDefault="00331580" w:rsidP="00331580">
      <w:pPr>
        <w:jc w:val="center"/>
        <w:rPr>
          <w:b/>
          <w:sz w:val="28"/>
          <w:szCs w:val="28"/>
        </w:rPr>
      </w:pPr>
      <w:r w:rsidRPr="00916677">
        <w:rPr>
          <w:b/>
          <w:sz w:val="28"/>
          <w:szCs w:val="28"/>
        </w:rPr>
        <w:t>М</w:t>
      </w:r>
      <w:r w:rsidR="00B93C08" w:rsidRPr="00916677">
        <w:rPr>
          <w:b/>
          <w:sz w:val="28"/>
          <w:szCs w:val="28"/>
        </w:rPr>
        <w:t>УНИЦИПАЛЬНАЯ ПРОГРАММА</w:t>
      </w:r>
    </w:p>
    <w:p w:rsidR="00331580" w:rsidRPr="00916677" w:rsidRDefault="00331580" w:rsidP="000307D5">
      <w:pPr>
        <w:jc w:val="center"/>
        <w:rPr>
          <w:sz w:val="28"/>
          <w:szCs w:val="28"/>
        </w:rPr>
      </w:pPr>
      <w:r w:rsidRPr="00916677">
        <w:rPr>
          <w:sz w:val="28"/>
          <w:szCs w:val="28"/>
        </w:rPr>
        <w:t>«</w:t>
      </w:r>
      <w:r w:rsidR="000307D5" w:rsidRPr="00916677">
        <w:rPr>
          <w:b/>
          <w:sz w:val="28"/>
          <w:szCs w:val="28"/>
        </w:rPr>
        <w:t>О</w:t>
      </w:r>
      <w:r w:rsidR="00B93C08" w:rsidRPr="00916677">
        <w:rPr>
          <w:b/>
          <w:sz w:val="28"/>
          <w:szCs w:val="28"/>
        </w:rPr>
        <w:t xml:space="preserve">БЕСПЕЧЕНИЕ ЗАЩИТЫ ПРАВ ПОТРЕБИТЕЛЕЙ В </w:t>
      </w:r>
      <w:r w:rsidR="00247567" w:rsidRPr="00916677">
        <w:rPr>
          <w:b/>
          <w:sz w:val="28"/>
          <w:szCs w:val="28"/>
        </w:rPr>
        <w:t>РОМАНОВСКОМ МУНИЦИПАЛЬНОМ РАЙОНЕ НА 20</w:t>
      </w:r>
      <w:r w:rsidR="00D32E03" w:rsidRPr="00916677">
        <w:rPr>
          <w:b/>
          <w:sz w:val="28"/>
          <w:szCs w:val="28"/>
        </w:rPr>
        <w:t>2</w:t>
      </w:r>
      <w:r w:rsidR="0070568E">
        <w:rPr>
          <w:b/>
          <w:sz w:val="28"/>
          <w:szCs w:val="28"/>
        </w:rPr>
        <w:t>5-2027</w:t>
      </w:r>
      <w:r w:rsidR="000307D5" w:rsidRPr="00916677">
        <w:rPr>
          <w:b/>
          <w:sz w:val="28"/>
          <w:szCs w:val="28"/>
        </w:rPr>
        <w:t xml:space="preserve"> годы</w:t>
      </w:r>
      <w:r w:rsidRPr="00916677">
        <w:rPr>
          <w:sz w:val="28"/>
          <w:szCs w:val="28"/>
        </w:rPr>
        <w:t>»</w:t>
      </w:r>
    </w:p>
    <w:p w:rsidR="00331580" w:rsidRPr="00916677" w:rsidRDefault="00331580" w:rsidP="00331580">
      <w:pPr>
        <w:jc w:val="center"/>
        <w:rPr>
          <w:sz w:val="28"/>
          <w:szCs w:val="28"/>
        </w:rPr>
      </w:pPr>
    </w:p>
    <w:p w:rsidR="00331580" w:rsidRPr="00027C9E" w:rsidRDefault="00B93C08" w:rsidP="00331580">
      <w:pPr>
        <w:jc w:val="center"/>
        <w:rPr>
          <w:b/>
          <w:sz w:val="28"/>
          <w:szCs w:val="28"/>
          <w:u w:val="single"/>
        </w:rPr>
      </w:pPr>
      <w:r w:rsidRPr="00027C9E">
        <w:rPr>
          <w:b/>
          <w:sz w:val="28"/>
          <w:szCs w:val="28"/>
          <w:u w:val="single"/>
        </w:rPr>
        <w:t>Паспорт программы</w:t>
      </w:r>
    </w:p>
    <w:p w:rsidR="00B93C08" w:rsidRPr="00027C9E" w:rsidRDefault="00B93C08" w:rsidP="00331580">
      <w:pPr>
        <w:jc w:val="center"/>
        <w:rPr>
          <w:b/>
          <w:sz w:val="28"/>
          <w:szCs w:val="28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3166"/>
        <w:gridCol w:w="1219"/>
        <w:gridCol w:w="1219"/>
        <w:gridCol w:w="1373"/>
      </w:tblGrid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70568E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 «</w:t>
            </w:r>
            <w:r w:rsidR="00731E88"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247567" w:rsidRPr="00027C9E">
              <w:rPr>
                <w:sz w:val="28"/>
                <w:szCs w:val="28"/>
              </w:rPr>
              <w:t>Романовском муниципальном</w:t>
            </w:r>
            <w:r w:rsidR="00731E88" w:rsidRPr="00027C9E">
              <w:rPr>
                <w:sz w:val="28"/>
                <w:szCs w:val="28"/>
              </w:rPr>
              <w:t xml:space="preserve"> районе </w:t>
            </w:r>
            <w:r w:rsidR="00247567" w:rsidRPr="00027C9E">
              <w:rPr>
                <w:sz w:val="28"/>
                <w:szCs w:val="28"/>
              </w:rPr>
              <w:t>на 20</w:t>
            </w:r>
            <w:r w:rsidR="00D32E03">
              <w:rPr>
                <w:sz w:val="28"/>
                <w:szCs w:val="28"/>
              </w:rPr>
              <w:t>2</w:t>
            </w:r>
            <w:r w:rsidR="0070568E">
              <w:rPr>
                <w:sz w:val="28"/>
                <w:szCs w:val="28"/>
              </w:rPr>
              <w:t>5-2027</w:t>
            </w:r>
            <w:r w:rsidR="00731E88" w:rsidRPr="00027C9E">
              <w:rPr>
                <w:sz w:val="28"/>
                <w:szCs w:val="28"/>
              </w:rPr>
              <w:t xml:space="preserve"> годы</w:t>
            </w:r>
            <w:r w:rsidRPr="00027C9E">
              <w:rPr>
                <w:sz w:val="28"/>
                <w:szCs w:val="28"/>
              </w:rPr>
              <w:t>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731E88" w:rsidP="00731E88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Федеральный  закон  РФ от 07 февраля 1992 года № 2300-</w:t>
            </w:r>
            <w:r w:rsidRPr="00027C9E">
              <w:rPr>
                <w:sz w:val="28"/>
                <w:szCs w:val="28"/>
                <w:lang w:val="en-US"/>
              </w:rPr>
              <w:t>I</w:t>
            </w:r>
            <w:r w:rsidRPr="00027C9E">
              <w:rPr>
                <w:sz w:val="28"/>
                <w:szCs w:val="28"/>
              </w:rPr>
              <w:t xml:space="preserve"> «О защите прав потребителей»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Администрация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Саратовской области (далее по тексту – администрация района)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 xml:space="preserve"> администрации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(далее по тексту – 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>)</w:t>
            </w:r>
          </w:p>
        </w:tc>
      </w:tr>
      <w:tr w:rsidR="001B662B" w:rsidRPr="00027C9E" w:rsidTr="008D13C8">
        <w:tc>
          <w:tcPr>
            <w:tcW w:w="2671" w:type="dxa"/>
          </w:tcPr>
          <w:p w:rsidR="001B662B" w:rsidRPr="00027C9E" w:rsidRDefault="001B662B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77" w:type="dxa"/>
            <w:gridSpan w:val="4"/>
          </w:tcPr>
          <w:p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Развитие системы обеспечения прав потребителей в </w:t>
            </w:r>
            <w:r>
              <w:rPr>
                <w:rFonts w:eastAsia="Calibri"/>
                <w:color w:val="000000"/>
                <w:sz w:val="28"/>
                <w:szCs w:val="28"/>
              </w:rPr>
              <w:t>районе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потребителями.</w:t>
            </w:r>
          </w:p>
        </w:tc>
      </w:tr>
      <w:tr w:rsidR="001B662B" w:rsidRPr="00027C9E" w:rsidTr="008D13C8">
        <w:tc>
          <w:tcPr>
            <w:tcW w:w="2671" w:type="dxa"/>
          </w:tcPr>
          <w:p w:rsidR="001B662B" w:rsidRPr="00027C9E" w:rsidRDefault="001B662B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77" w:type="dxa"/>
            <w:gridSpan w:val="4"/>
          </w:tcPr>
          <w:p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координация деятельности всех участников по достижению цели Программы;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color w:val="000000"/>
                <w:sz w:val="28"/>
                <w:szCs w:val="28"/>
              </w:rPr>
              <w:t xml:space="preserve">- повышение доступности правовой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помощи для потребителей; </w:t>
            </w:r>
          </w:p>
          <w:p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систематическая оценка состояния потребительского рынка и системы защиты прав потребителей;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содействие органам местного самоуправления области в решении задач по защите прав потребителей; </w:t>
            </w:r>
          </w:p>
          <w:p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- создание условий для повышения качества и безопасности реализуемых товаров, работ и услуг; </w:t>
            </w:r>
          </w:p>
          <w:p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обеспечение защиты прав наиболее социально уязвимых категорий потребителей.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977" w:type="dxa"/>
            <w:gridSpan w:val="4"/>
          </w:tcPr>
          <w:p w:rsidR="008B42F7" w:rsidRPr="00027C9E" w:rsidRDefault="001B662B" w:rsidP="00705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0568E">
              <w:rPr>
                <w:sz w:val="28"/>
                <w:szCs w:val="28"/>
              </w:rPr>
              <w:t>5-2027</w:t>
            </w:r>
            <w:r w:rsidR="008B42F7" w:rsidRPr="00027C9E">
              <w:rPr>
                <w:sz w:val="28"/>
                <w:szCs w:val="28"/>
              </w:rPr>
              <w:t xml:space="preserve"> годы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977" w:type="dxa"/>
            <w:gridSpan w:val="4"/>
          </w:tcPr>
          <w:p w:rsidR="00105584" w:rsidRPr="00027C9E" w:rsidRDefault="008B42F7" w:rsidP="00105584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Администрация </w:t>
            </w:r>
            <w:r w:rsidR="00391FD0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Романовского</w:t>
            </w: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муниципального района Саратовской области</w:t>
            </w:r>
            <w:r w:rsidR="00105584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.</w:t>
            </w:r>
          </w:p>
          <w:p w:rsidR="00105584" w:rsidRPr="00027C9E" w:rsidRDefault="00105584" w:rsidP="00105584">
            <w:pPr>
              <w:widowControl w:val="0"/>
              <w:autoSpaceDE w:val="0"/>
              <w:jc w:val="both"/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Западный территориальный отдел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Управления Федеральной службы по надзору в сфере защиты прав потребителей и благополучия человека по Саратовской области</w:t>
            </w:r>
            <w:r w:rsidR="00553AA8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(по согласованию)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8B42F7" w:rsidRPr="00027C9E" w:rsidRDefault="00180572" w:rsidP="00180572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Областное государственное учреждение "Романовская районная станция по борьбе с болезнями животных</w:t>
            </w:r>
            <w:r w:rsidRPr="00027C9E">
              <w:rPr>
                <w:rFonts w:eastAsia="SimSun"/>
                <w:b/>
                <w:kern w:val="1"/>
                <w:sz w:val="28"/>
                <w:szCs w:val="28"/>
                <w:lang w:bidi="hi-IN"/>
              </w:rPr>
              <w:t>"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</w:t>
            </w:r>
            <w:r w:rsidR="00DC6046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(по согласованию)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A1010E" w:rsidRPr="00027C9E" w:rsidTr="008D13C8">
        <w:tc>
          <w:tcPr>
            <w:tcW w:w="2671" w:type="dxa"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7" w:type="dxa"/>
            <w:gridSpan w:val="4"/>
          </w:tcPr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увеличение доли потребительских споров, разрешаемых в досудебном порядке;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 оперативности защиты нарушенных прав потребителей.</w:t>
            </w:r>
          </w:p>
          <w:p w:rsidR="00A1010E" w:rsidRPr="00027C9E" w:rsidRDefault="00A1010E" w:rsidP="002D554B">
            <w:pPr>
              <w:rPr>
                <w:sz w:val="28"/>
                <w:szCs w:val="28"/>
              </w:rPr>
            </w:pPr>
          </w:p>
        </w:tc>
      </w:tr>
      <w:tr w:rsidR="00A1010E" w:rsidRPr="00027C9E" w:rsidTr="00916677">
        <w:trPr>
          <w:trHeight w:val="315"/>
        </w:trPr>
        <w:tc>
          <w:tcPr>
            <w:tcW w:w="2671" w:type="dxa"/>
            <w:vMerge w:val="restart"/>
            <w:vAlign w:val="center"/>
          </w:tcPr>
          <w:p w:rsidR="00A1010E" w:rsidRPr="00027C9E" w:rsidRDefault="001B662B" w:rsidP="0064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3166" w:type="dxa"/>
          </w:tcPr>
          <w:p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A1010E" w:rsidRPr="00027C9E" w:rsidRDefault="00A1010E" w:rsidP="0070568E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26</w:t>
            </w:r>
          </w:p>
        </w:tc>
        <w:tc>
          <w:tcPr>
            <w:tcW w:w="1373" w:type="dxa"/>
          </w:tcPr>
          <w:p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</w:tr>
      <w:tr w:rsidR="00A1010E" w:rsidRPr="00027C9E" w:rsidTr="008D13C8">
        <w:trPr>
          <w:trHeight w:val="330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00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75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</w:t>
            </w:r>
            <w:r w:rsidRPr="00027C9E">
              <w:rPr>
                <w:sz w:val="28"/>
                <w:szCs w:val="28"/>
              </w:rPr>
              <w:lastRenderedPageBreak/>
              <w:t>средствах массовой информации материалов касающихся вопросов защиты прав потребителей</w:t>
            </w:r>
          </w:p>
        </w:tc>
        <w:tc>
          <w:tcPr>
            <w:tcW w:w="1219" w:type="dxa"/>
          </w:tcPr>
          <w:p w:rsidR="00A1010E" w:rsidRPr="00027C9E" w:rsidRDefault="00A1010E" w:rsidP="008D13C8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2</w:t>
            </w:r>
          </w:p>
        </w:tc>
        <w:tc>
          <w:tcPr>
            <w:tcW w:w="1219" w:type="dxa"/>
          </w:tcPr>
          <w:p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A1010E" w:rsidRPr="00027C9E" w:rsidTr="00A8551B">
        <w:trPr>
          <w:trHeight w:val="345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5952F6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  <w:tr w:rsidR="00A1010E" w:rsidRPr="00027C9E" w:rsidTr="00A8551B">
        <w:trPr>
          <w:trHeight w:val="345"/>
        </w:trPr>
        <w:tc>
          <w:tcPr>
            <w:tcW w:w="2671" w:type="dxa"/>
          </w:tcPr>
          <w:p w:rsidR="00A1010E" w:rsidRPr="00027C9E" w:rsidRDefault="00A1010E" w:rsidP="00A8551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C9E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в том числе (по годам)</w:t>
            </w:r>
          </w:p>
        </w:tc>
        <w:tc>
          <w:tcPr>
            <w:tcW w:w="6977" w:type="dxa"/>
            <w:gridSpan w:val="4"/>
          </w:tcPr>
          <w:p w:rsidR="00A1010E" w:rsidRPr="00027C9E" w:rsidRDefault="00A1010E" w:rsidP="00BB2BF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>Муниципальная программа не требует финансового обеспечения.</w:t>
            </w:r>
          </w:p>
        </w:tc>
      </w:tr>
      <w:tr w:rsidR="00823F33" w:rsidRPr="00027C9E" w:rsidTr="00A8551B">
        <w:trPr>
          <w:trHeight w:val="345"/>
        </w:trPr>
        <w:tc>
          <w:tcPr>
            <w:tcW w:w="2671" w:type="dxa"/>
          </w:tcPr>
          <w:p w:rsidR="00823F33" w:rsidRPr="00027C9E" w:rsidRDefault="00823F33" w:rsidP="00A8551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на достижение национальных целей</w:t>
            </w:r>
          </w:p>
        </w:tc>
        <w:tc>
          <w:tcPr>
            <w:tcW w:w="6977" w:type="dxa"/>
            <w:gridSpan w:val="4"/>
          </w:tcPr>
          <w:p w:rsidR="00823F33" w:rsidRPr="00027C9E" w:rsidRDefault="00823F33" w:rsidP="00BB2BFD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F52C47" w:rsidRPr="00027C9E" w:rsidRDefault="00F52C47">
      <w:pPr>
        <w:rPr>
          <w:sz w:val="28"/>
          <w:szCs w:val="28"/>
        </w:rPr>
      </w:pPr>
    </w:p>
    <w:p w:rsidR="00DC6046" w:rsidRPr="00027C9E" w:rsidRDefault="00DC6046" w:rsidP="00DC6046">
      <w:pPr>
        <w:pStyle w:val="a7"/>
        <w:ind w:left="720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DC6046" w:rsidRPr="00027C9E" w:rsidRDefault="00DC6046" w:rsidP="00DC6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Национальная политика в сфере защиты прав потребителей заняла прочные позиции в социальных и экономических преобразованиях нашей страны. Она осуществляется во взаимосвязи общим курсом экономических и правовых реформ с учетом их влияния на экономическое положение граждан на потребительском рынке товаров, работ, услуг. </w:t>
      </w:r>
    </w:p>
    <w:p w:rsidR="00DC6046" w:rsidRPr="00027C9E" w:rsidRDefault="00DC6046" w:rsidP="00DC6046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Правовой основой защиты прав потребителей в Российской Федерации является Закон Российской Федерации от 07 февраля 1992 года № 2300-1 «О защите прав потребителей», Кодекс  Российской Федерации об административных правонарушениях и другие нормативные правовые акты Российской Федерации.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настоящее время организационную основу потребительской политики составляет сформированная система защиты прав потребителей.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На практике отработаны схемы реализации Закона Российской Федерации «О защите прав потребителей». 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</w:t>
      </w:r>
      <w:r w:rsidRPr="00027C9E">
        <w:rPr>
          <w:rFonts w:ascii="Times New Roman" w:hAnsi="Times New Roman"/>
          <w:sz w:val="28"/>
          <w:szCs w:val="28"/>
        </w:rPr>
        <w:lastRenderedPageBreak/>
        <w:t>потребителям, но и предпринимателям, проведение целевых проверок отдельных секторов потребительского рынка товаров, работ, услуг.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целях предупреждения правонарушений на потребительском рынке товаров и услуг проводятся контрольно-надзорные мероприятия, по результатам которых руководителям предприятий выдаются предписания с указанием сроков устранения нарушений обязательных требований нормативных документов.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степенью  точности отражает состояние потребительского рынка.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организационного и социального характера.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Рынок товаров и услуг не может обеспечить всем потребителям равных возможностей во взаимоотношениях с хозяйствующими субъектами. 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 экономическое положение потребителей. В числе основных причин обращений граждан является непредставление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современном потребительском рынке товаров и услуг (например, в сфере жилищно-коммунально</w:t>
      </w:r>
      <w:r w:rsidR="008B27E0" w:rsidRPr="00027C9E">
        <w:rPr>
          <w:rFonts w:ascii="Times New Roman" w:hAnsi="Times New Roman"/>
          <w:sz w:val="28"/>
          <w:szCs w:val="28"/>
        </w:rPr>
        <w:t>го</w:t>
      </w:r>
      <w:r w:rsidRPr="00027C9E">
        <w:rPr>
          <w:rFonts w:ascii="Times New Roman" w:hAnsi="Times New Roman"/>
          <w:sz w:val="28"/>
          <w:szCs w:val="28"/>
        </w:rPr>
        <w:t xml:space="preserve"> хозяйств</w:t>
      </w:r>
      <w:r w:rsidR="008B27E0" w:rsidRPr="00027C9E">
        <w:rPr>
          <w:rFonts w:ascii="Times New Roman" w:hAnsi="Times New Roman"/>
          <w:sz w:val="28"/>
          <w:szCs w:val="28"/>
        </w:rPr>
        <w:t>а</w:t>
      </w:r>
      <w:r w:rsidRPr="00027C9E">
        <w:rPr>
          <w:rFonts w:ascii="Times New Roman" w:hAnsi="Times New Roman"/>
          <w:sz w:val="28"/>
          <w:szCs w:val="28"/>
        </w:rPr>
        <w:t>), оценка результатов изменения законодательства в сфере защиты прав потребителей, выявления пробелов в нем и подготовка предложений по совершенствованию нормативной базы.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Для повышения эффективности защиты прав потребителей на территории </w:t>
      </w:r>
      <w:r w:rsidR="00027C9E">
        <w:rPr>
          <w:rFonts w:ascii="Times New Roman" w:hAnsi="Times New Roman"/>
          <w:sz w:val="28"/>
          <w:szCs w:val="28"/>
        </w:rPr>
        <w:t>Романовского</w:t>
      </w:r>
      <w:r w:rsidRPr="00027C9E">
        <w:rPr>
          <w:rFonts w:ascii="Times New Roman" w:hAnsi="Times New Roman"/>
          <w:sz w:val="28"/>
          <w:szCs w:val="28"/>
        </w:rPr>
        <w:t xml:space="preserve"> муниципального района необходим переход на новый уровень защиты прав потребителей, для чего необходимы новые организационные подходы, объединений усилий всех структур оказывающих влияние на эту сферу общественных отношений.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lastRenderedPageBreak/>
        <w:t>Реализация мероприятий, предусмотренных настоящей муниципальной программой позволит решить обозначенные задачи и будет способствовать повышению уровня защищенности потребителей, снижению социальной напряженности в обществе.</w:t>
      </w:r>
    </w:p>
    <w:p w:rsidR="008F7720" w:rsidRPr="00027C9E" w:rsidRDefault="008F7720" w:rsidP="008F772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2. Цель и задачи муниципальной программы</w:t>
      </w:r>
    </w:p>
    <w:p w:rsidR="008F7720" w:rsidRPr="00027C9E" w:rsidRDefault="008F7720" w:rsidP="001B662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Основной  целью  муниципальной программы является: </w:t>
      </w:r>
      <w:r w:rsidR="001B662B" w:rsidRPr="001B662B">
        <w:rPr>
          <w:rFonts w:ascii="Times New Roman" w:hAnsi="Times New Roman"/>
          <w:sz w:val="28"/>
          <w:szCs w:val="28"/>
        </w:rPr>
        <w:t>Развитие системы обеспечения прав потребителей в регионе,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потребителями.</w:t>
      </w:r>
      <w:r w:rsidR="001B662B">
        <w:rPr>
          <w:rFonts w:ascii="Times New Roman" w:hAnsi="Times New Roman"/>
          <w:sz w:val="28"/>
          <w:szCs w:val="28"/>
        </w:rPr>
        <w:t xml:space="preserve"> </w:t>
      </w:r>
      <w:r w:rsidRPr="00027C9E">
        <w:rPr>
          <w:rFonts w:ascii="Times New Roman" w:hAnsi="Times New Roman"/>
          <w:sz w:val="28"/>
          <w:szCs w:val="28"/>
        </w:rPr>
        <w:t>Для достижения эт</w:t>
      </w:r>
      <w:r w:rsidR="00281463" w:rsidRPr="00027C9E">
        <w:rPr>
          <w:rFonts w:ascii="Times New Roman" w:hAnsi="Times New Roman"/>
          <w:sz w:val="28"/>
          <w:szCs w:val="28"/>
        </w:rPr>
        <w:t>ой</w:t>
      </w:r>
      <w:r w:rsidRPr="00027C9E">
        <w:rPr>
          <w:rFonts w:ascii="Times New Roman" w:hAnsi="Times New Roman"/>
          <w:sz w:val="28"/>
          <w:szCs w:val="28"/>
        </w:rPr>
        <w:t xml:space="preserve"> цел</w:t>
      </w:r>
      <w:r w:rsidR="00281463" w:rsidRPr="00027C9E">
        <w:rPr>
          <w:rFonts w:ascii="Times New Roman" w:hAnsi="Times New Roman"/>
          <w:sz w:val="28"/>
          <w:szCs w:val="28"/>
        </w:rPr>
        <w:t>и</w:t>
      </w:r>
      <w:r w:rsidRPr="00027C9E">
        <w:rPr>
          <w:rFonts w:ascii="Times New Roman" w:hAnsi="Times New Roman"/>
          <w:sz w:val="28"/>
          <w:szCs w:val="28"/>
        </w:rPr>
        <w:t xml:space="preserve"> необходимо решение комплекса задач, основными из которых являются: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координация деятельности всех участников по достижению цели Программы;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доступности правовой помощи для потребителей;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систематическая оценка состояния потребительского рынка и системы защиты прав потребителей;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содействие органам местного самоуправления области в решении задач по защите прав потребителей;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создание условий для повышения качества и безопасности реализуемых товаров, работ и услуг; </w:t>
      </w:r>
    </w:p>
    <w:p w:rsidR="00DC6046" w:rsidRPr="00027C9E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обеспечение защиты прав наиболее социально уязвимых категорий потребителей.</w:t>
      </w:r>
    </w:p>
    <w:p w:rsidR="00B17816" w:rsidRPr="00027C9E" w:rsidRDefault="00B17816" w:rsidP="00B17816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3. Целевые показатели муниципальной программы.</w:t>
      </w:r>
    </w:p>
    <w:p w:rsidR="00B17816" w:rsidRPr="00027C9E" w:rsidRDefault="00B17816" w:rsidP="00B1781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Целевыми показателями, определяющими решение поставленных задач являются: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727"/>
        <w:gridCol w:w="1727"/>
        <w:gridCol w:w="1874"/>
      </w:tblGrid>
      <w:tr w:rsidR="00DF110E" w:rsidRPr="00027C9E" w:rsidTr="00A8551B">
        <w:trPr>
          <w:trHeight w:val="172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DF110E" w:rsidRPr="00027C9E" w:rsidRDefault="001B662B" w:rsidP="00823F33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  <w:r w:rsidR="00184F5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(единиц)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6</w:t>
            </w:r>
          </w:p>
          <w:p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  <w:p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</w:tr>
      <w:tr w:rsidR="00DF110E" w:rsidRPr="00027C9E" w:rsidTr="00A8551B">
        <w:trPr>
          <w:trHeight w:val="330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551B">
        <w:trPr>
          <w:trHeight w:val="300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551B">
        <w:trPr>
          <w:trHeight w:val="37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информации </w:t>
            </w:r>
            <w:r w:rsidRPr="00027C9E">
              <w:rPr>
                <w:sz w:val="28"/>
                <w:szCs w:val="28"/>
              </w:rPr>
              <w:lastRenderedPageBreak/>
              <w:t>материалов касающихся вопросов защиты прав потребителей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2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DF110E" w:rsidRPr="00027C9E" w:rsidTr="00A8551B">
        <w:trPr>
          <w:trHeight w:val="34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</w:tbl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4.Прогноз конечных результатов муниципальной программы, сроки и этапы реализации муниципальной программы.</w:t>
      </w:r>
    </w:p>
    <w:p w:rsidR="005478A1" w:rsidRPr="00027C9E" w:rsidRDefault="005478A1" w:rsidP="005478A1">
      <w:pPr>
        <w:spacing w:before="100" w:beforeAutospacing="1"/>
        <w:ind w:left="385"/>
        <w:rPr>
          <w:sz w:val="28"/>
          <w:szCs w:val="28"/>
        </w:rPr>
      </w:pPr>
      <w:r w:rsidRPr="00027C9E">
        <w:rPr>
          <w:sz w:val="28"/>
          <w:szCs w:val="28"/>
        </w:rPr>
        <w:t>Основные ожидаемые результаты реализации муниципальной программы: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867"/>
        </w:tabs>
        <w:spacing w:line="264" w:lineRule="exact"/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увеличение доли потребительских споров, разрешаемых в досудебном порядке;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 оперативности защиты нарушенных прав потребителей.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  <w:r w:rsidRPr="00027C9E">
        <w:rPr>
          <w:sz w:val="28"/>
          <w:szCs w:val="28"/>
        </w:rPr>
        <w:t xml:space="preserve">       Муниципальная программа рассчитана на период 20</w:t>
      </w:r>
      <w:r w:rsidR="001B662B">
        <w:rPr>
          <w:sz w:val="28"/>
          <w:szCs w:val="28"/>
        </w:rPr>
        <w:t>2</w:t>
      </w:r>
      <w:r w:rsidR="00823F33">
        <w:rPr>
          <w:sz w:val="28"/>
          <w:szCs w:val="28"/>
        </w:rPr>
        <w:t>5</w:t>
      </w:r>
      <w:r w:rsidRPr="00027C9E">
        <w:rPr>
          <w:sz w:val="28"/>
          <w:szCs w:val="28"/>
        </w:rPr>
        <w:t>–</w:t>
      </w:r>
      <w:r w:rsidR="00823F33">
        <w:rPr>
          <w:sz w:val="28"/>
          <w:szCs w:val="28"/>
        </w:rPr>
        <w:t>2027</w:t>
      </w:r>
      <w:r w:rsidRPr="00027C9E">
        <w:rPr>
          <w:sz w:val="28"/>
          <w:szCs w:val="28"/>
        </w:rPr>
        <w:t xml:space="preserve"> годы. 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 xml:space="preserve">5. Перечень </w:t>
      </w:r>
      <w:r w:rsidR="00823F33">
        <w:rPr>
          <w:rFonts w:ascii="Times New Roman" w:hAnsi="Times New Roman"/>
          <w:b/>
          <w:sz w:val="28"/>
          <w:szCs w:val="28"/>
        </w:rPr>
        <w:t>комплекса процессных</w:t>
      </w:r>
      <w:r w:rsidRPr="00027C9E">
        <w:rPr>
          <w:rFonts w:ascii="Times New Roman" w:hAnsi="Times New Roman"/>
          <w:b/>
          <w:sz w:val="28"/>
          <w:szCs w:val="28"/>
        </w:rPr>
        <w:t xml:space="preserve"> мероприятий муниципальной программы.</w:t>
      </w: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      В целях обеспечения решения конкретных задач  муниципальной программы сформирован перечень мероприятий: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1.Рассмотрение обращений граждан и их консультирование по вопросам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2.Предоставление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3.Организация и проведение семинаров, круглых столов с участием представителей малого и среднего предпринимательства и  населением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</w:t>
      </w:r>
      <w:r w:rsidR="00184F52" w:rsidRPr="00027C9E">
        <w:rPr>
          <w:sz w:val="28"/>
          <w:szCs w:val="28"/>
        </w:rPr>
        <w:t xml:space="preserve">муниципального </w:t>
      </w:r>
      <w:r w:rsidRPr="00027C9E">
        <w:rPr>
          <w:sz w:val="28"/>
          <w:szCs w:val="28"/>
        </w:rPr>
        <w:t>района.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4. Организация и проведение просветительских мероприятий среди учащихся общеобразовательных учреждений об основах потребительских знаний.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5. 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6. Размещение информации для  потребителей на официальном сайте Администрации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района.</w:t>
      </w:r>
    </w:p>
    <w:p w:rsidR="005478A1" w:rsidRPr="00027C9E" w:rsidRDefault="005478A1" w:rsidP="005478A1">
      <w:pPr>
        <w:snapToGrid w:val="0"/>
        <w:rPr>
          <w:sz w:val="28"/>
          <w:szCs w:val="28"/>
        </w:rPr>
      </w:pPr>
      <w:r w:rsidRPr="00027C9E">
        <w:rPr>
          <w:sz w:val="28"/>
          <w:szCs w:val="28"/>
        </w:rPr>
        <w:t>7. 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lastRenderedPageBreak/>
        <w:t>8. 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</w:r>
    </w:p>
    <w:p w:rsidR="004A138B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9. Осуществление мониторинга цен и тарифов на жизненно необходимые товары (работы, услуги).</w:t>
      </w: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6. Финансовое обеспечение реализации муниципальной программы.</w:t>
      </w:r>
    </w:p>
    <w:p w:rsidR="00955790" w:rsidRPr="00027C9E" w:rsidRDefault="00955790" w:rsidP="0095579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муниципальной программе предусмотрены мероприятия, реализация которых не требует финансового обеспечения.</w:t>
      </w:r>
    </w:p>
    <w:p w:rsidR="00B17816" w:rsidRPr="00027C9E" w:rsidRDefault="00B17816">
      <w:pPr>
        <w:rPr>
          <w:sz w:val="28"/>
          <w:szCs w:val="28"/>
        </w:rPr>
      </w:pP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7.Анализ рисков реализации муниципальной программы.</w:t>
      </w:r>
    </w:p>
    <w:p w:rsidR="00955790" w:rsidRPr="00027C9E" w:rsidRDefault="00955790" w:rsidP="00955790">
      <w:pPr>
        <w:pStyle w:val="a7"/>
        <w:rPr>
          <w:rFonts w:ascii="Times New Roman" w:hAnsi="Times New Roman"/>
          <w:b/>
          <w:sz w:val="28"/>
          <w:szCs w:val="28"/>
        </w:rPr>
      </w:pP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     Риск неуспешной реализации данной муниципальной программы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оценивается как минимальный. Вместе с тем при реализации мероприятий могут возникнуть следующие риски:</w:t>
      </w:r>
    </w:p>
    <w:p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о</w:t>
      </w:r>
      <w:r w:rsidR="00955790" w:rsidRPr="00027C9E">
        <w:rPr>
          <w:rFonts w:eastAsia="TimesNewRomanPSMT"/>
          <w:sz w:val="28"/>
          <w:szCs w:val="28"/>
        </w:rPr>
        <w:t>рганизационные риски.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Риск принятия в ходе реализации муниципальной программы  неэффективных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организационных решений. Причиной возникновения данного риска может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служить малоэффективная система управления реализацией мероприятий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программы в сфере защиты прав потребителей. Механизм минимизации такого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риска - создание эффективной системы управления мероприятиями программы.</w:t>
      </w:r>
    </w:p>
    <w:p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р</w:t>
      </w:r>
      <w:r w:rsidR="00955790" w:rsidRPr="00027C9E">
        <w:rPr>
          <w:rFonts w:eastAsia="TimesNewRomanPSMT"/>
          <w:sz w:val="28"/>
          <w:szCs w:val="28"/>
        </w:rPr>
        <w:t>иски, связанные с человеческим фактором.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Риск получения низкого уровня  эффективности выполнения мероприятий</w:t>
      </w:r>
    </w:p>
    <w:p w:rsidR="003529BD" w:rsidRPr="00027C9E" w:rsidRDefault="00955790" w:rsidP="00916677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3529BD" w:rsidRPr="00027C9E" w:rsidSect="0061176E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027C9E">
        <w:rPr>
          <w:rFonts w:eastAsia="TimesNewRomanPSMT"/>
          <w:sz w:val="28"/>
          <w:szCs w:val="28"/>
        </w:rPr>
        <w:t>программы из-за недостаточной квалификации персонала. Механизм минимизации такого риска состоит в привлечении к исполнению мероприятий программы высококлассных специалистов.</w:t>
      </w:r>
    </w:p>
    <w:p w:rsidR="008015AF" w:rsidRPr="00027C9E" w:rsidRDefault="008015AF" w:rsidP="00184F52">
      <w:pPr>
        <w:ind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AF4E0E" w:rsidRPr="00BD2CF0" w:rsidRDefault="00AF4E0E" w:rsidP="00AF4E0E">
      <w:pPr>
        <w:ind w:left="10490"/>
      </w:pPr>
      <w:r w:rsidRPr="00BD2CF0">
        <w:t xml:space="preserve">Приложение № </w:t>
      </w:r>
      <w:r w:rsidR="00184F52" w:rsidRPr="00BD2CF0">
        <w:t>1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184F52" w:rsidRPr="00BD2CF0">
        <w:t xml:space="preserve">Романовском муниципальном </w:t>
      </w:r>
      <w:r w:rsidRPr="00BD2CF0">
        <w:t xml:space="preserve">районе </w:t>
      </w:r>
      <w:r w:rsidR="00184F52" w:rsidRPr="00BD2CF0">
        <w:t>на 20</w:t>
      </w:r>
      <w:r w:rsidR="001B662B">
        <w:t>2</w:t>
      </w:r>
      <w:r w:rsidR="00823F33">
        <w:t>5</w:t>
      </w:r>
      <w:r w:rsidR="001B662B">
        <w:t>-202</w:t>
      </w:r>
      <w:r w:rsidR="00823F33">
        <w:t xml:space="preserve">7 </w:t>
      </w:r>
      <w:r w:rsidRPr="00BD2CF0">
        <w:t>годы»</w:t>
      </w: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BD2CF0" w:rsidRDefault="00A8196D" w:rsidP="00A8196D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Основные мероприятия  муниципальной программы «Обеспечение защиты прав потребителей в </w:t>
      </w:r>
      <w:r w:rsidR="00184F52" w:rsidRPr="00BD2CF0">
        <w:rPr>
          <w:b/>
          <w:sz w:val="28"/>
          <w:szCs w:val="28"/>
        </w:rPr>
        <w:t>Романовском муниципальном</w:t>
      </w:r>
      <w:r w:rsidRPr="00BD2CF0">
        <w:rPr>
          <w:b/>
          <w:sz w:val="28"/>
          <w:szCs w:val="28"/>
        </w:rPr>
        <w:t xml:space="preserve"> районе </w:t>
      </w:r>
      <w:r w:rsidR="00184F52" w:rsidRPr="00BD2CF0">
        <w:rPr>
          <w:b/>
          <w:sz w:val="28"/>
          <w:szCs w:val="28"/>
        </w:rPr>
        <w:t>на 20</w:t>
      </w:r>
      <w:r w:rsidR="001B662B">
        <w:rPr>
          <w:b/>
          <w:sz w:val="28"/>
          <w:szCs w:val="28"/>
        </w:rPr>
        <w:t>2</w:t>
      </w:r>
      <w:r w:rsidR="00C02F28">
        <w:rPr>
          <w:b/>
          <w:sz w:val="28"/>
          <w:szCs w:val="28"/>
        </w:rPr>
        <w:t>5-2027</w:t>
      </w:r>
      <w:r w:rsidRPr="00BD2CF0">
        <w:rPr>
          <w:b/>
          <w:sz w:val="28"/>
          <w:szCs w:val="28"/>
        </w:rPr>
        <w:t xml:space="preserve"> годы»</w:t>
      </w: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397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258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Рассмотрение обращений граждан и их консультирование по вопросам защиты прав потребителей.</w:t>
            </w:r>
          </w:p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  <w:r w:rsidRPr="00027C9E">
              <w:rPr>
                <w:sz w:val="28"/>
                <w:szCs w:val="28"/>
              </w:rPr>
              <w:t>-202</w:t>
            </w:r>
            <w:r w:rsidR="00C02F28"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E506A4" w:rsidRPr="00027C9E">
              <w:rPr>
                <w:sz w:val="28"/>
                <w:szCs w:val="28"/>
              </w:rPr>
              <w:t xml:space="preserve">тдел </w:t>
            </w:r>
            <w:r w:rsidR="00184F52" w:rsidRPr="00027C9E">
              <w:rPr>
                <w:sz w:val="28"/>
                <w:szCs w:val="28"/>
              </w:rPr>
              <w:t>экономики и инвестиционной политики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C5125D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семинаров, круглых столов с участием представителей малого и среднего предпринимательства и  населением Романовского муниципального района.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C5125D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C02F28" w:rsidRPr="00027C9E" w:rsidRDefault="00C02F28" w:rsidP="004A138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просветительских мероприятий среди учащихся общеобразовательных учреждений об основах потребительских знаний.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C02F28" w:rsidRPr="00027C9E" w:rsidRDefault="00C02F28" w:rsidP="004B1315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Размещение информации для  потребителей на официальном сайте Администрации Романовского муниципального района.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20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      </w:r>
          </w:p>
        </w:tc>
        <w:tc>
          <w:tcPr>
            <w:tcW w:w="1397" w:type="dxa"/>
          </w:tcPr>
          <w:p w:rsidR="00C02F28" w:rsidRDefault="00C02F28">
            <w:r w:rsidRPr="00723051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политики.</w:t>
            </w:r>
          </w:p>
          <w:p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</w:tc>
      </w:tr>
      <w:tr w:rsidR="00C02F28" w:rsidRPr="00027C9E" w:rsidTr="00E506A4">
        <w:tc>
          <w:tcPr>
            <w:tcW w:w="701" w:type="dxa"/>
          </w:tcPr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20" w:type="dxa"/>
          </w:tcPr>
          <w:p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      </w:r>
          </w:p>
          <w:p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C02F28" w:rsidRDefault="00C02F28">
            <w:r w:rsidRPr="00723051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C02F28" w:rsidRPr="00027C9E" w:rsidRDefault="00C02F28" w:rsidP="00027C9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</w:tbl>
    <w:p w:rsidR="004A138B" w:rsidRDefault="004A138B">
      <w:r>
        <w:br w:type="page"/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Осуществление мониторинга цен и тарифов на жизненно необходимые товары (работы, услуги).</w:t>
            </w:r>
          </w:p>
          <w:p w:rsidR="00E506A4" w:rsidRPr="00027C9E" w:rsidRDefault="00E506A4" w:rsidP="0043350C">
            <w:pPr>
              <w:ind w:left="8080" w:right="-1"/>
              <w:rPr>
                <w:b/>
                <w:sz w:val="28"/>
                <w:szCs w:val="28"/>
              </w:rPr>
            </w:pP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C02F28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027C9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E506A4" w:rsidP="00027C9E">
            <w:pPr>
              <w:ind w:right="-1"/>
              <w:rPr>
                <w:sz w:val="28"/>
                <w:szCs w:val="28"/>
              </w:rPr>
            </w:pPr>
          </w:p>
        </w:tc>
      </w:tr>
    </w:tbl>
    <w:p w:rsidR="00BD2CF0" w:rsidRPr="00027C9E" w:rsidRDefault="00BD2CF0" w:rsidP="003529BD">
      <w:pPr>
        <w:ind w:left="8080" w:right="-1"/>
        <w:rPr>
          <w:b/>
          <w:sz w:val="28"/>
          <w:szCs w:val="28"/>
        </w:rPr>
      </w:pPr>
    </w:p>
    <w:p w:rsidR="00AF4E0E" w:rsidRPr="00027C9E" w:rsidRDefault="00AF4E0E" w:rsidP="003529BD">
      <w:pPr>
        <w:ind w:left="8080" w:right="-1"/>
        <w:rPr>
          <w:b/>
          <w:sz w:val="28"/>
          <w:szCs w:val="28"/>
        </w:rPr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AF4E0E" w:rsidRPr="00BD2CF0" w:rsidRDefault="00AF4E0E" w:rsidP="00AF4E0E">
      <w:pPr>
        <w:ind w:left="10490"/>
      </w:pPr>
      <w:r w:rsidRPr="00BD2CF0">
        <w:lastRenderedPageBreak/>
        <w:t xml:space="preserve">Приложение № </w:t>
      </w:r>
      <w:r w:rsidR="00027C9E" w:rsidRPr="00BD2CF0">
        <w:t>2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027C9E" w:rsidRPr="00BD2CF0">
        <w:t xml:space="preserve">Романовском муниципальном районе на </w:t>
      </w:r>
      <w:r w:rsidR="002862E6">
        <w:t>202</w:t>
      </w:r>
      <w:r w:rsidR="00C02F28">
        <w:t>5-2027</w:t>
      </w:r>
      <w:r w:rsidRPr="00BD2CF0">
        <w:t xml:space="preserve"> годы»</w:t>
      </w:r>
    </w:p>
    <w:p w:rsidR="00AF4E0E" w:rsidRPr="00BD2CF0" w:rsidRDefault="00AF4E0E" w:rsidP="00AF4E0E">
      <w:pPr>
        <w:ind w:left="9639"/>
      </w:pPr>
    </w:p>
    <w:p w:rsidR="00AF4E0E" w:rsidRPr="00BD2CF0" w:rsidRDefault="00AF4E0E" w:rsidP="00AF4E0E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План-график реализации  муниципальной программы «Обеспечение защиты прав потребителей в </w:t>
      </w:r>
      <w:r w:rsidR="00027C9E" w:rsidRPr="00BD2CF0">
        <w:rPr>
          <w:b/>
          <w:sz w:val="28"/>
          <w:szCs w:val="28"/>
        </w:rPr>
        <w:t xml:space="preserve">Романовском муниципальном </w:t>
      </w:r>
      <w:r w:rsidRPr="00BD2CF0">
        <w:rPr>
          <w:b/>
          <w:sz w:val="28"/>
          <w:szCs w:val="28"/>
        </w:rPr>
        <w:t xml:space="preserve">районе </w:t>
      </w:r>
      <w:r w:rsidR="00027C9E" w:rsidRPr="00BD2CF0">
        <w:rPr>
          <w:b/>
          <w:sz w:val="28"/>
          <w:szCs w:val="28"/>
        </w:rPr>
        <w:t>на 20</w:t>
      </w:r>
      <w:r w:rsidR="002862E6">
        <w:rPr>
          <w:b/>
          <w:sz w:val="28"/>
          <w:szCs w:val="28"/>
        </w:rPr>
        <w:t>2</w:t>
      </w:r>
      <w:r w:rsidR="00C02F28">
        <w:rPr>
          <w:b/>
          <w:sz w:val="28"/>
          <w:szCs w:val="28"/>
        </w:rPr>
        <w:t>5-2027</w:t>
      </w:r>
      <w:r w:rsidRPr="00BD2CF0">
        <w:rPr>
          <w:b/>
          <w:sz w:val="28"/>
          <w:szCs w:val="28"/>
        </w:rPr>
        <w:t xml:space="preserve"> годы»</w:t>
      </w:r>
    </w:p>
    <w:tbl>
      <w:tblPr>
        <w:tblStyle w:val="a9"/>
        <w:tblW w:w="14566" w:type="dxa"/>
        <w:tblLayout w:type="fixed"/>
        <w:tblLook w:val="04A0" w:firstRow="1" w:lastRow="0" w:firstColumn="1" w:lastColumn="0" w:noHBand="0" w:noVBand="1"/>
      </w:tblPr>
      <w:tblGrid>
        <w:gridCol w:w="701"/>
        <w:gridCol w:w="3093"/>
        <w:gridCol w:w="2552"/>
        <w:gridCol w:w="5386"/>
        <w:gridCol w:w="1417"/>
        <w:gridCol w:w="1417"/>
      </w:tblGrid>
      <w:tr w:rsidR="003927C2" w:rsidRPr="00027C9E" w:rsidTr="003927C2">
        <w:tc>
          <w:tcPr>
            <w:tcW w:w="701" w:type="dxa"/>
          </w:tcPr>
          <w:p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3093" w:type="dxa"/>
          </w:tcPr>
          <w:p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2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386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Ожидаемый результат реализации мероприятия</w:t>
            </w:r>
          </w:p>
        </w:tc>
        <w:tc>
          <w:tcPr>
            <w:tcW w:w="1417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начала реализации</w:t>
            </w:r>
          </w:p>
        </w:tc>
        <w:tc>
          <w:tcPr>
            <w:tcW w:w="1417" w:type="dxa"/>
          </w:tcPr>
          <w:p w:rsidR="003927C2" w:rsidRPr="00027C9E" w:rsidRDefault="003927C2" w:rsidP="003927C2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окончания  реализации</w:t>
            </w:r>
          </w:p>
        </w:tc>
      </w:tr>
      <w:tr w:rsidR="003927C2" w:rsidRPr="00027C9E" w:rsidTr="003927C2">
        <w:tc>
          <w:tcPr>
            <w:tcW w:w="701" w:type="dxa"/>
          </w:tcPr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3093" w:type="dxa"/>
          </w:tcPr>
          <w:p w:rsidR="003927C2" w:rsidRPr="00027C9E" w:rsidRDefault="003927C2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027C9E" w:rsidRPr="00027C9E">
              <w:rPr>
                <w:sz w:val="28"/>
                <w:szCs w:val="28"/>
              </w:rPr>
              <w:t>Романовском муниципальном</w:t>
            </w:r>
            <w:r w:rsidRPr="00027C9E">
              <w:rPr>
                <w:sz w:val="28"/>
                <w:szCs w:val="28"/>
              </w:rPr>
              <w:t xml:space="preserve"> районе </w:t>
            </w:r>
            <w:r w:rsidR="00027C9E" w:rsidRPr="00027C9E">
              <w:rPr>
                <w:sz w:val="28"/>
                <w:szCs w:val="28"/>
              </w:rPr>
              <w:t>на  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  <w:r w:rsidR="002862E6">
              <w:rPr>
                <w:sz w:val="28"/>
                <w:szCs w:val="28"/>
              </w:rPr>
              <w:t>-202</w:t>
            </w:r>
            <w:r w:rsidR="00C02F28"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552" w:type="dxa"/>
          </w:tcPr>
          <w:p w:rsidR="003927C2" w:rsidRPr="00027C9E" w:rsidRDefault="00027C9E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  <w:tc>
          <w:tcPr>
            <w:tcW w:w="5386" w:type="dxa"/>
          </w:tcPr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увеличение доли потребительских споров, разрешаемых в досудебном порядке;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 оперативности защиты нарушенных прав потребителей.</w:t>
            </w:r>
          </w:p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927C2" w:rsidRPr="00027C9E" w:rsidRDefault="003927C2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927C2" w:rsidRPr="00027C9E" w:rsidRDefault="003927C2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C02F28">
              <w:rPr>
                <w:sz w:val="28"/>
                <w:szCs w:val="28"/>
              </w:rPr>
              <w:t>27</w:t>
            </w:r>
          </w:p>
        </w:tc>
      </w:tr>
    </w:tbl>
    <w:p w:rsidR="004A138B" w:rsidRPr="004A138B" w:rsidRDefault="004A138B" w:rsidP="004A138B">
      <w:pPr>
        <w:ind w:right="-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</w:t>
      </w:r>
    </w:p>
    <w:sectPr w:rsidR="004A138B" w:rsidRPr="004A138B" w:rsidSect="00184F5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5B378E"/>
    <w:multiLevelType w:val="multilevel"/>
    <w:tmpl w:val="F5E4ED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33DED"/>
    <w:multiLevelType w:val="hybridMultilevel"/>
    <w:tmpl w:val="7A989D82"/>
    <w:lvl w:ilvl="0" w:tplc="F71ED5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80"/>
    <w:rsid w:val="00014F1F"/>
    <w:rsid w:val="00027C9E"/>
    <w:rsid w:val="000307D5"/>
    <w:rsid w:val="000339EF"/>
    <w:rsid w:val="0009701F"/>
    <w:rsid w:val="00105584"/>
    <w:rsid w:val="00180572"/>
    <w:rsid w:val="00184F52"/>
    <w:rsid w:val="001B662B"/>
    <w:rsid w:val="00247567"/>
    <w:rsid w:val="00281463"/>
    <w:rsid w:val="002862E6"/>
    <w:rsid w:val="002D554B"/>
    <w:rsid w:val="002D7725"/>
    <w:rsid w:val="00331580"/>
    <w:rsid w:val="003529BD"/>
    <w:rsid w:val="00391FD0"/>
    <w:rsid w:val="003927C2"/>
    <w:rsid w:val="0041484C"/>
    <w:rsid w:val="0043350C"/>
    <w:rsid w:val="004945DF"/>
    <w:rsid w:val="004A138B"/>
    <w:rsid w:val="004A6EF0"/>
    <w:rsid w:val="004B1315"/>
    <w:rsid w:val="004E5814"/>
    <w:rsid w:val="005478A1"/>
    <w:rsid w:val="00553AA8"/>
    <w:rsid w:val="0055664F"/>
    <w:rsid w:val="005952F6"/>
    <w:rsid w:val="005B6104"/>
    <w:rsid w:val="005F39F0"/>
    <w:rsid w:val="0061176E"/>
    <w:rsid w:val="00614CD1"/>
    <w:rsid w:val="006410DB"/>
    <w:rsid w:val="006767CD"/>
    <w:rsid w:val="006B516F"/>
    <w:rsid w:val="006C1859"/>
    <w:rsid w:val="0070568E"/>
    <w:rsid w:val="00731E88"/>
    <w:rsid w:val="00735DF8"/>
    <w:rsid w:val="007876C1"/>
    <w:rsid w:val="007B3C1F"/>
    <w:rsid w:val="007B4428"/>
    <w:rsid w:val="007C13B3"/>
    <w:rsid w:val="007D6A0E"/>
    <w:rsid w:val="007D6CE2"/>
    <w:rsid w:val="007F2255"/>
    <w:rsid w:val="008015AF"/>
    <w:rsid w:val="00823F33"/>
    <w:rsid w:val="00847845"/>
    <w:rsid w:val="008B1694"/>
    <w:rsid w:val="008B27E0"/>
    <w:rsid w:val="008B42F7"/>
    <w:rsid w:val="008D13C8"/>
    <w:rsid w:val="008F7720"/>
    <w:rsid w:val="00916677"/>
    <w:rsid w:val="0095468C"/>
    <w:rsid w:val="00955790"/>
    <w:rsid w:val="00970DD3"/>
    <w:rsid w:val="009B3FD0"/>
    <w:rsid w:val="009E3E33"/>
    <w:rsid w:val="009F5740"/>
    <w:rsid w:val="00A1010E"/>
    <w:rsid w:val="00A8196D"/>
    <w:rsid w:val="00A8551B"/>
    <w:rsid w:val="00AC55CC"/>
    <w:rsid w:val="00AF1213"/>
    <w:rsid w:val="00AF4E0E"/>
    <w:rsid w:val="00B06AE7"/>
    <w:rsid w:val="00B17816"/>
    <w:rsid w:val="00B468B6"/>
    <w:rsid w:val="00B93C08"/>
    <w:rsid w:val="00BB2BFD"/>
    <w:rsid w:val="00BD2CF0"/>
    <w:rsid w:val="00BD3561"/>
    <w:rsid w:val="00BE57F8"/>
    <w:rsid w:val="00C02F28"/>
    <w:rsid w:val="00C06C35"/>
    <w:rsid w:val="00CB142B"/>
    <w:rsid w:val="00CF4799"/>
    <w:rsid w:val="00D32E03"/>
    <w:rsid w:val="00D33A1B"/>
    <w:rsid w:val="00D51CD3"/>
    <w:rsid w:val="00D802D2"/>
    <w:rsid w:val="00D80B85"/>
    <w:rsid w:val="00DB28B0"/>
    <w:rsid w:val="00DC6046"/>
    <w:rsid w:val="00DF110E"/>
    <w:rsid w:val="00E506A4"/>
    <w:rsid w:val="00E84E1E"/>
    <w:rsid w:val="00EC7874"/>
    <w:rsid w:val="00F2484D"/>
    <w:rsid w:val="00F459FA"/>
    <w:rsid w:val="00F52C47"/>
    <w:rsid w:val="00F76A67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  <w:style w:type="paragraph" w:styleId="ac">
    <w:name w:val="List Paragraph"/>
    <w:basedOn w:val="a"/>
    <w:uiPriority w:val="34"/>
    <w:qFormat/>
    <w:rsid w:val="00D32E03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1B66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  <w:style w:type="paragraph" w:styleId="ac">
    <w:name w:val="List Paragraph"/>
    <w:basedOn w:val="a"/>
    <w:uiPriority w:val="34"/>
    <w:qFormat/>
    <w:rsid w:val="00D32E03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1B66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2617-2695-4699-9B5F-D2630CAE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Pivnenko</dc:creator>
  <cp:lastModifiedBy>Пользователь Windows</cp:lastModifiedBy>
  <cp:revision>5</cp:revision>
  <cp:lastPrinted>2021-12-06T11:40:00Z</cp:lastPrinted>
  <dcterms:created xsi:type="dcterms:W3CDTF">2021-12-06T11:34:00Z</dcterms:created>
  <dcterms:modified xsi:type="dcterms:W3CDTF">2025-02-17T08:49:00Z</dcterms:modified>
</cp:coreProperties>
</file>