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CB" w:rsidRPr="00CC12CB" w:rsidRDefault="00CC12CB" w:rsidP="00CC12CB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2CB">
        <w:rPr>
          <w:rFonts w:ascii="Times New Roman" w:eastAsia="Times New Roman" w:hAnsi="Times New Roman" w:cs="Times New Roman"/>
          <w:b/>
          <w:sz w:val="28"/>
          <w:szCs w:val="28"/>
        </w:rPr>
        <w:t>Актуальная консультация: производственный контроль и специальная оценка условий труда</w:t>
      </w:r>
    </w:p>
    <w:p w:rsidR="00CC12CB" w:rsidRDefault="00CC12CB" w:rsidP="00CC12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8080"/>
          <w:sz w:val="16"/>
          <w:lang w:val="en-US"/>
        </w:rPr>
      </w:pPr>
    </w:p>
    <w:p w:rsidR="00CC12CB" w:rsidRPr="00CC12CB" w:rsidRDefault="00CC12CB" w:rsidP="00CC12C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12CB">
        <w:rPr>
          <w:rFonts w:ascii="Times New Roman" w:eastAsia="Times New Roman" w:hAnsi="Times New Roman" w:cs="Times New Roman"/>
          <w:sz w:val="28"/>
          <w:szCs w:val="28"/>
        </w:rPr>
        <w:t xml:space="preserve">В рамках перехода Республики Крым и </w:t>
      </w:r>
      <w:proofErr w:type="gramStart"/>
      <w:r w:rsidRPr="00CC12C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C12CB">
        <w:rPr>
          <w:rFonts w:ascii="Times New Roman" w:eastAsia="Times New Roman" w:hAnsi="Times New Roman" w:cs="Times New Roman"/>
          <w:sz w:val="28"/>
          <w:szCs w:val="28"/>
        </w:rPr>
        <w:t xml:space="preserve">. Севастополя в российское правовое поле работодатели столкнулись с необходимостью реализации на рабочих местах своих организаций процедур производственного контроля (в том числе состояния и условий труда) и специальной оценки условий труда. </w:t>
      </w:r>
      <w:proofErr w:type="gramStart"/>
      <w:r w:rsidRPr="00CC12CB">
        <w:rPr>
          <w:rFonts w:ascii="Times New Roman" w:eastAsia="Times New Roman" w:hAnsi="Times New Roman" w:cs="Times New Roman"/>
          <w:sz w:val="28"/>
          <w:szCs w:val="28"/>
        </w:rPr>
        <w:t xml:space="preserve">О том, что это за процедуры, кто, как и на основании каких документов должен их проводить, а также о наказании за </w:t>
      </w:r>
      <w:proofErr w:type="spellStart"/>
      <w:r w:rsidRPr="00CC12CB">
        <w:rPr>
          <w:rFonts w:ascii="Times New Roman" w:eastAsia="Times New Roman" w:hAnsi="Times New Roman" w:cs="Times New Roman"/>
          <w:sz w:val="28"/>
          <w:szCs w:val="28"/>
        </w:rPr>
        <w:t>непроведение</w:t>
      </w:r>
      <w:proofErr w:type="spellEnd"/>
      <w:r w:rsidRPr="00CC12CB">
        <w:rPr>
          <w:rFonts w:ascii="Times New Roman" w:eastAsia="Times New Roman" w:hAnsi="Times New Roman" w:cs="Times New Roman"/>
          <w:sz w:val="28"/>
          <w:szCs w:val="28"/>
        </w:rPr>
        <w:t xml:space="preserve"> либо неправильное проведение этих процедур, мы поговорили с Заместителем руководителя Департамента охраны труда, производственного контроля и специальной оценки условий труда Группы компаний «</w:t>
      </w:r>
      <w:proofErr w:type="spellStart"/>
      <w:r w:rsidRPr="00CC12CB">
        <w:rPr>
          <w:rFonts w:ascii="Times New Roman" w:eastAsia="Times New Roman" w:hAnsi="Times New Roman" w:cs="Times New Roman"/>
          <w:sz w:val="28"/>
          <w:szCs w:val="28"/>
        </w:rPr>
        <w:t>Экостандарт</w:t>
      </w:r>
      <w:proofErr w:type="spellEnd"/>
      <w:r w:rsidRPr="00CC12CB">
        <w:rPr>
          <w:rFonts w:ascii="Times New Roman" w:eastAsia="Times New Roman" w:hAnsi="Times New Roman" w:cs="Times New Roman"/>
          <w:sz w:val="28"/>
          <w:szCs w:val="28"/>
        </w:rPr>
        <w:t>», руководителем службы контроля качества Ушаковым Романом Владимировичем.</w:t>
      </w:r>
      <w:proofErr w:type="gramEnd"/>
    </w:p>
    <w:p w:rsidR="00CC12CB" w:rsidRPr="00CC12CB" w:rsidRDefault="00CC12CB" w:rsidP="00CC12C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CC12CB">
        <w:rPr>
          <w:rFonts w:ascii="Helvetica" w:eastAsia="Times New Roman" w:hAnsi="Helvetica" w:cs="Helvetica"/>
          <w:color w:val="333333"/>
          <w:sz w:val="12"/>
          <w:szCs w:val="12"/>
        </w:rPr>
        <w:t> </w:t>
      </w:r>
      <w:r w:rsidRPr="00CC12CB">
        <w:rPr>
          <w:rFonts w:ascii="Helvetica" w:eastAsia="Times New Roman" w:hAnsi="Helvetica" w:cs="Helvetica"/>
          <w:color w:val="333333"/>
          <w:sz w:val="12"/>
          <w:szCs w:val="12"/>
        </w:rPr>
        <w:br/>
      </w:r>
      <w:r w:rsidRPr="00CC12CB">
        <w:rPr>
          <w:rFonts w:ascii="Helvetica" w:eastAsia="Times New Roman" w:hAnsi="Helvetica" w:cs="Helvetica"/>
          <w:color w:val="333333"/>
          <w:sz w:val="12"/>
          <w:szCs w:val="12"/>
        </w:rPr>
        <w:br/>
      </w:r>
      <w:r w:rsidRPr="00CC12CB">
        <w:rPr>
          <w:rFonts w:ascii="Helvetica" w:eastAsia="Times New Roman" w:hAnsi="Helvetica" w:cs="Helvetica"/>
          <w:color w:val="333333"/>
          <w:sz w:val="12"/>
          <w:szCs w:val="12"/>
        </w:rPr>
        <w:br/>
      </w:r>
    </w:p>
    <w:p w:rsidR="00CC12CB" w:rsidRPr="00CC12CB" w:rsidRDefault="00CC12CB" w:rsidP="00CC12CB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12CB">
        <w:rPr>
          <w:rFonts w:ascii="Times New Roman" w:eastAsia="Times New Roman" w:hAnsi="Times New Roman" w:cs="Times New Roman"/>
          <w:sz w:val="28"/>
          <w:szCs w:val="28"/>
        </w:rPr>
        <w:t>– Расскажите, пожалуйста, что же такое производственный контроль и специальная оценка условий труда?</w:t>
      </w:r>
    </w:p>
    <w:p w:rsidR="00CC12CB" w:rsidRDefault="00CC12CB" w:rsidP="00CC12CB">
      <w:pPr>
        <w:pStyle w:val="a7"/>
        <w:rPr>
          <w:rFonts w:eastAsia="Times New Roman"/>
          <w:color w:val="333333"/>
          <w:sz w:val="14"/>
          <w:szCs w:val="14"/>
          <w:lang w:val="en-US"/>
        </w:rPr>
      </w:pPr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C12CB">
        <w:rPr>
          <w:rFonts w:eastAsia="Times New Roman"/>
          <w:color w:val="333333"/>
          <w:sz w:val="14"/>
          <w:szCs w:val="14"/>
        </w:rPr>
        <w:t> </w:t>
      </w:r>
      <w:r w:rsidRPr="00CC12CB">
        <w:rPr>
          <w:rFonts w:eastAsia="Times New Roman"/>
          <w:color w:val="333333"/>
          <w:sz w:val="14"/>
          <w:szCs w:val="14"/>
        </w:rPr>
        <w:br/>
      </w:r>
      <w:r>
        <w:rPr>
          <w:rFonts w:eastAsia="Times New Roman"/>
          <w:noProof/>
          <w:color w:val="333333"/>
          <w:sz w:val="12"/>
          <w:szCs w:val="12"/>
        </w:rPr>
        <w:drawing>
          <wp:inline distT="0" distB="0" distL="0" distR="0">
            <wp:extent cx="2343150" cy="2381250"/>
            <wp:effectExtent l="19050" t="0" r="0" b="0"/>
            <wp:docPr id="2" name="Рисунок 2" descr="http://www.trudcontrol.ru/files/editor/images/avatars/%D0%A1%D1%82%D0%B0%D1%82%D0%B8%D1%81%D1%82%D0%B8%D0%BA%D0%B0/2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dcontrol.ru/files/editor/images/avatars/%D0%A1%D1%82%D0%B0%D1%82%D0%B8%D1%81%D1%82%D0%B8%D0%BA%D0%B0/2(18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2CB" w:rsidRDefault="00CC12CB" w:rsidP="00CC12CB">
      <w:pPr>
        <w:pStyle w:val="a7"/>
        <w:rPr>
          <w:rFonts w:eastAsia="Times New Roman"/>
          <w:color w:val="333333"/>
          <w:sz w:val="14"/>
          <w:szCs w:val="14"/>
          <w:lang w:val="en-US"/>
        </w:rPr>
      </w:pPr>
    </w:p>
    <w:p w:rsidR="00CC12CB" w:rsidRDefault="00CC12CB" w:rsidP="00CC12CB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CC12CB">
        <w:rPr>
          <w:rFonts w:ascii="Times New Roman" w:hAnsi="Times New Roman" w:cs="Times New Roman"/>
          <w:sz w:val="28"/>
          <w:szCs w:val="28"/>
        </w:rPr>
        <w:t>– Производственный контроль – это контроль соблюдения установленных санитарных правил и выполнения санитарно-противоэпидемических мероприятий, который производится самим работодателем в соответствии с задачами осуществляемой им деятельности с привлечением испытательных лабораторий, аккредитованных в установленном порядке.</w:t>
      </w:r>
      <w:r w:rsidRPr="00CC12CB">
        <w:rPr>
          <w:rFonts w:ascii="Times New Roman" w:hAnsi="Times New Roman" w:cs="Times New Roman"/>
          <w:sz w:val="28"/>
          <w:szCs w:val="28"/>
        </w:rPr>
        <w:br/>
        <w:t> </w:t>
      </w:r>
      <w:r w:rsidRPr="00CC12CB">
        <w:rPr>
          <w:rFonts w:ascii="Times New Roman" w:hAnsi="Times New Roman" w:cs="Times New Roman"/>
          <w:sz w:val="28"/>
          <w:szCs w:val="28"/>
        </w:rPr>
        <w:br/>
      </w:r>
      <w:r w:rsidRPr="00CC12C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C12CB">
        <w:rPr>
          <w:rFonts w:ascii="Times New Roman" w:hAnsi="Times New Roman" w:cs="Times New Roman"/>
          <w:sz w:val="28"/>
          <w:szCs w:val="28"/>
        </w:rPr>
        <w:t>К объектам контроля относят:</w:t>
      </w:r>
      <w:r w:rsidRPr="00CC12CB">
        <w:rPr>
          <w:rFonts w:ascii="Times New Roman" w:hAnsi="Times New Roman" w:cs="Times New Roman"/>
          <w:sz w:val="28"/>
          <w:szCs w:val="28"/>
        </w:rPr>
        <w:br/>
      </w:r>
      <w:r w:rsidRPr="00CC12CB">
        <w:rPr>
          <w:rFonts w:ascii="Times New Roman" w:hAnsi="Times New Roman" w:cs="Times New Roman"/>
          <w:sz w:val="28"/>
          <w:szCs w:val="28"/>
        </w:rPr>
        <w:br/>
        <w:t>– производственные, общественные помещения, здания, сооружения;</w:t>
      </w:r>
      <w:r w:rsidRPr="00CC12CB">
        <w:rPr>
          <w:rFonts w:ascii="Times New Roman" w:hAnsi="Times New Roman" w:cs="Times New Roman"/>
          <w:sz w:val="28"/>
          <w:szCs w:val="28"/>
        </w:rPr>
        <w:br/>
        <w:t>– санитарно-защитные зоны, зоны санитарной охраны;</w:t>
      </w:r>
      <w:r w:rsidRPr="00CC12CB">
        <w:rPr>
          <w:rFonts w:ascii="Times New Roman" w:hAnsi="Times New Roman" w:cs="Times New Roman"/>
          <w:sz w:val="28"/>
          <w:szCs w:val="28"/>
        </w:rPr>
        <w:br/>
        <w:t>– оборудование, транспорт, технологическое оборудование;</w:t>
      </w:r>
      <w:r w:rsidRPr="00CC12CB">
        <w:rPr>
          <w:rFonts w:ascii="Times New Roman" w:hAnsi="Times New Roman" w:cs="Times New Roman"/>
          <w:sz w:val="28"/>
          <w:szCs w:val="28"/>
        </w:rPr>
        <w:br/>
        <w:t xml:space="preserve">– технологические процессы, рабочие места, используемые для выполнения </w:t>
      </w:r>
      <w:r w:rsidRPr="00CC12CB">
        <w:rPr>
          <w:rFonts w:ascii="Times New Roman" w:hAnsi="Times New Roman" w:cs="Times New Roman"/>
          <w:sz w:val="28"/>
          <w:szCs w:val="28"/>
        </w:rPr>
        <w:lastRenderedPageBreak/>
        <w:t>работ, оказания услуг;</w:t>
      </w:r>
      <w:r w:rsidRPr="00CC12CB">
        <w:rPr>
          <w:rFonts w:ascii="Times New Roman" w:hAnsi="Times New Roman" w:cs="Times New Roman"/>
          <w:sz w:val="28"/>
          <w:szCs w:val="28"/>
        </w:rPr>
        <w:br/>
        <w:t>– сырье, полуфабрикаты, готовая продукция, отходы производства и потребления.</w:t>
      </w:r>
      <w:proofErr w:type="gramEnd"/>
      <w:r w:rsidRPr="00CC12CB">
        <w:rPr>
          <w:rFonts w:ascii="Times New Roman" w:hAnsi="Times New Roman" w:cs="Times New Roman"/>
          <w:sz w:val="28"/>
          <w:szCs w:val="28"/>
        </w:rPr>
        <w:br/>
        <w:t> </w:t>
      </w:r>
      <w:r w:rsidRPr="00CC12CB">
        <w:rPr>
          <w:rFonts w:ascii="Times New Roman" w:hAnsi="Times New Roman" w:cs="Times New Roman"/>
          <w:sz w:val="28"/>
          <w:szCs w:val="28"/>
        </w:rPr>
        <w:br/>
        <w:t>Производственный контроль проводится, чтобы обезопасить работника от вредного, а иногда и опасного влияния на него среды производства и любых иных производственных факторов. В конечном итоге главная цель контроля на производстве – реализация конституционного права каждого работника на безопасный труд.</w:t>
      </w:r>
      <w:r w:rsidRPr="00CC12CB">
        <w:rPr>
          <w:rFonts w:ascii="Times New Roman" w:hAnsi="Times New Roman" w:cs="Times New Roman"/>
          <w:sz w:val="28"/>
          <w:szCs w:val="28"/>
        </w:rPr>
        <w:br/>
        <w:t> </w:t>
      </w:r>
      <w:r w:rsidRPr="00CC12CB">
        <w:rPr>
          <w:rFonts w:ascii="Times New Roman" w:hAnsi="Times New Roman" w:cs="Times New Roman"/>
          <w:sz w:val="28"/>
          <w:szCs w:val="28"/>
        </w:rPr>
        <w:br/>
      </w:r>
      <w:r>
        <w:rPr>
          <w:rFonts w:eastAsia="Times New Roman"/>
          <w:noProof/>
          <w:color w:val="333333"/>
          <w:sz w:val="14"/>
          <w:szCs w:val="14"/>
        </w:rPr>
        <w:drawing>
          <wp:inline distT="0" distB="0" distL="0" distR="0">
            <wp:extent cx="5168900" cy="2901950"/>
            <wp:effectExtent l="19050" t="0" r="0" b="0"/>
            <wp:docPr id="3" name="Рисунок 3" descr="http://www.trudcontrol.ru/files/editor/images/avatars/%D0%A1%D1%82%D0%B0%D1%82%D0%B8%D1%81%D1%82%D0%B8%D0%BA%D0%B0/00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rudcontrol.ru/files/editor/images/avatars/%D0%A1%D1%82%D0%B0%D1%82%D0%B8%D1%81%D1%82%D0%B8%D0%BA%D0%B0/0001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2CB" w:rsidRDefault="00CC12CB" w:rsidP="00CC12CB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CC12CB" w:rsidRPr="00CC12CB" w:rsidRDefault="00CC12CB" w:rsidP="00CC12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12CB">
        <w:rPr>
          <w:rFonts w:ascii="Times New Roman" w:eastAsia="Times New Roman" w:hAnsi="Times New Roman" w:cs="Times New Roman"/>
          <w:sz w:val="28"/>
          <w:szCs w:val="28"/>
        </w:rPr>
        <w:t>И вот в этом производственный контроль, скажем так, «конкурирует» с новым – как для Республики Крым и г. Севастополя, – так и относительно новым для РФ в целом – институтом специальной оценки условий труда (далее – СОУТ), направленной, в соответствии с действующим законодательством, на оценку уровня воздействия на работника имеющихся на его рабочем месте идентифицированных вредных и (или) опасных производственных факторов, с учётом отклонения</w:t>
      </w:r>
      <w:proofErr w:type="gramEnd"/>
      <w:r w:rsidRPr="00CC12CB">
        <w:rPr>
          <w:rFonts w:ascii="Times New Roman" w:eastAsia="Times New Roman" w:hAnsi="Times New Roman" w:cs="Times New Roman"/>
          <w:sz w:val="28"/>
          <w:szCs w:val="28"/>
        </w:rPr>
        <w:t xml:space="preserve"> значений этих факторов от установленных гигиенических нормативов условий труда.</w:t>
      </w:r>
      <w:r w:rsidRPr="00CC12CB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CC12CB">
        <w:rPr>
          <w:rFonts w:ascii="Times New Roman" w:eastAsia="Times New Roman" w:hAnsi="Times New Roman" w:cs="Times New Roman"/>
          <w:sz w:val="28"/>
          <w:szCs w:val="28"/>
        </w:rPr>
        <w:br/>
        <w:t>По итогам реализации процедур СОУТ на рабочем месте устанавливаются «вредность» или «</w:t>
      </w:r>
      <w:proofErr w:type="spellStart"/>
      <w:r w:rsidRPr="00CC12CB">
        <w:rPr>
          <w:rFonts w:ascii="Times New Roman" w:eastAsia="Times New Roman" w:hAnsi="Times New Roman" w:cs="Times New Roman"/>
          <w:sz w:val="28"/>
          <w:szCs w:val="28"/>
        </w:rPr>
        <w:t>невредность</w:t>
      </w:r>
      <w:proofErr w:type="spellEnd"/>
      <w:r w:rsidRPr="00CC12CB">
        <w:rPr>
          <w:rFonts w:ascii="Times New Roman" w:eastAsia="Times New Roman" w:hAnsi="Times New Roman" w:cs="Times New Roman"/>
          <w:sz w:val="28"/>
          <w:szCs w:val="28"/>
        </w:rPr>
        <w:t>» существующих условий труда, разрабатываются мероприятия по их улучшению, и устанавливается право работника на предоставление ему работодателем гарантий и компенсаций за работу во вредных и (или) опасных условиях труда (разумеется, если такие условия труда на данном рабочем месте установлены). СОУТ проводится совместно работодателем и сторонней организацией, допущенной к проведению работ по СОУТ в установленном законодательством порядке.</w:t>
      </w:r>
      <w:r w:rsidRPr="00CC12CB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CC12CB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CC12CB" w:rsidRPr="00CC12CB" w:rsidRDefault="00CC12CB" w:rsidP="00CC12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C12CB">
        <w:rPr>
          <w:rFonts w:ascii="Times New Roman" w:eastAsia="Times New Roman" w:hAnsi="Times New Roman" w:cs="Times New Roman"/>
          <w:b/>
          <w:bCs/>
          <w:i/>
          <w:iCs/>
          <w:color w:val="DAA520"/>
          <w:sz w:val="28"/>
          <w:szCs w:val="28"/>
        </w:rPr>
        <w:lastRenderedPageBreak/>
        <w:t>– Является ли обязательным для работодателя проведение и производственного контроля, и СОУТ? Можно ли сэкономить, проведя, например, только СОУТ или только производственный контроль?</w:t>
      </w:r>
    </w:p>
    <w:p w:rsidR="00CC12CB" w:rsidRDefault="00CC12CB" w:rsidP="00CC12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C12CB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CC12CB">
        <w:rPr>
          <w:rFonts w:ascii="Times New Roman" w:eastAsia="Times New Roman" w:hAnsi="Times New Roman" w:cs="Times New Roman"/>
          <w:sz w:val="28"/>
          <w:szCs w:val="28"/>
        </w:rPr>
        <w:br/>
        <w:t>– Наверное, я огорчу работодателей, но проведение и СОУТ, и производственного контроля является для них обязательным. Законодательным основанием для проведения СОУТ являются Трудовой кодекс РФ (ст. 212, обязывающая работодателя обеспечить проведение СОУТ) и принятый «в ее исполнение и развитие» Федеральный закон от 28.12.2013 г. № 426-ФЗ «О специальной оценке условий труда». Основным нормативным правовым актом, непосредственно регламентирующим порядок и механизмы проведения СОУТ, в свою очередь, является «Методика проведения специальной оценки условий труда», утверждённая Приказом Минтруда России от 24.01.2014 г. № 33н.</w:t>
      </w:r>
    </w:p>
    <w:p w:rsidR="00CC12CB" w:rsidRDefault="00CC12CB" w:rsidP="00CC12CB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12CB">
        <w:rPr>
          <w:rFonts w:ascii="Times New Roman" w:eastAsia="Times New Roman" w:hAnsi="Times New Roman" w:cs="Times New Roman"/>
          <w:sz w:val="28"/>
          <w:szCs w:val="28"/>
        </w:rPr>
        <w:br/>
      </w:r>
      <w:r w:rsidRPr="00CC12CB">
        <w:rPr>
          <w:rFonts w:ascii="Arial" w:eastAsia="Times New Roman" w:hAnsi="Arial" w:cs="Arial"/>
          <w:sz w:val="12"/>
          <w:szCs w:val="12"/>
        </w:rPr>
        <w:br/>
      </w:r>
      <w:r w:rsidRPr="00CC12CB">
        <w:rPr>
          <w:rFonts w:ascii="Arial" w:eastAsia="Times New Roman" w:hAnsi="Arial" w:cs="Arial"/>
          <w:sz w:val="12"/>
          <w:szCs w:val="12"/>
        </w:rPr>
        <w:br/>
      </w:r>
      <w:r w:rsidRPr="00CC12CB">
        <w:rPr>
          <w:rFonts w:ascii="Arial" w:eastAsia="Times New Roman" w:hAnsi="Arial" w:cs="Arial"/>
          <w:sz w:val="12"/>
          <w:szCs w:val="12"/>
        </w:rPr>
        <w:br/>
      </w:r>
      <w:r>
        <w:rPr>
          <w:rFonts w:ascii="Arial" w:eastAsia="Times New Roman" w:hAnsi="Arial" w:cs="Arial"/>
          <w:noProof/>
          <w:sz w:val="12"/>
          <w:szCs w:val="12"/>
        </w:rPr>
        <w:drawing>
          <wp:inline distT="0" distB="0" distL="0" distR="0">
            <wp:extent cx="5137150" cy="2882900"/>
            <wp:effectExtent l="19050" t="0" r="6350" b="0"/>
            <wp:docPr id="4" name="Рисунок 4" descr="http://www.trudcontrol.ru/files/editor/images/avatars/%D0%A1%D1%82%D0%B0%D1%82%D0%B8%D1%81%D1%82%D0%B8%D0%BA%D0%B0/sevastopolskii%20port%20-%20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rudcontrol.ru/files/editor/images/avatars/%D0%A1%D1%82%D0%B0%D1%82%D0%B8%D1%81%D1%82%D0%B8%D0%BA%D0%B0/sevastopolskii%20port%20-%20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2CB">
        <w:rPr>
          <w:rFonts w:ascii="Arial" w:eastAsia="Times New Roman" w:hAnsi="Arial" w:cs="Arial"/>
          <w:sz w:val="12"/>
          <w:szCs w:val="12"/>
        </w:rPr>
        <w:br/>
      </w:r>
      <w:r w:rsidRPr="00CC12CB">
        <w:rPr>
          <w:rFonts w:ascii="Arial" w:eastAsia="Times New Roman" w:hAnsi="Arial" w:cs="Arial"/>
          <w:sz w:val="12"/>
          <w:szCs w:val="12"/>
        </w:rPr>
        <w:br/>
      </w:r>
      <w:r w:rsidRPr="00CC12CB">
        <w:rPr>
          <w:rFonts w:ascii="Arial" w:eastAsia="Times New Roman" w:hAnsi="Arial" w:cs="Arial"/>
          <w:sz w:val="12"/>
          <w:szCs w:val="12"/>
        </w:rPr>
        <w:br/>
        <w:t> </w:t>
      </w:r>
      <w:r w:rsidRPr="00CC12CB">
        <w:rPr>
          <w:rFonts w:ascii="Arial" w:eastAsia="Times New Roman" w:hAnsi="Arial" w:cs="Arial"/>
          <w:sz w:val="12"/>
          <w:szCs w:val="12"/>
        </w:rPr>
        <w:br/>
      </w:r>
      <w:r w:rsidRPr="00CC12CB">
        <w:rPr>
          <w:rFonts w:ascii="Times New Roman" w:hAnsi="Times New Roman" w:cs="Times New Roman"/>
          <w:sz w:val="28"/>
          <w:szCs w:val="28"/>
        </w:rPr>
        <w:t>Законодательным основанием для проведения ПК являются Трудовой кодекс РФ (та же статья 212, обязывающая работодателя, помимо прочего, обеспечить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материалов) и Федеральный закон от 30.03.1999 г. № 52-ФЗ «О санитарно-эпидемиологическом благополучии населения». Документом, непосредственно регламентирующим порядок осуществления и механизмы реализации процедур производственного контроля, являются санитарные правила СП 1.1.1058-01. Этот документ – действующий, однако нормативным правовым актом уже не является.</w:t>
      </w:r>
    </w:p>
    <w:p w:rsidR="00CC12CB" w:rsidRDefault="00CC12CB" w:rsidP="00CC12CB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12CB">
        <w:rPr>
          <w:rFonts w:ascii="Times New Roman" w:hAnsi="Times New Roman" w:cs="Times New Roman"/>
          <w:sz w:val="28"/>
          <w:szCs w:val="28"/>
        </w:rPr>
        <w:lastRenderedPageBreak/>
        <w:br/>
        <w:t>При этом реализация работодателем (и экспертной организацией, проводящей СОУТ на его рабочих местах) процедур, прописанных в «Методике проведения специальной оценки условий труда», контролируется Государственными инспекциями труда в субъектах федерации. На федеральном уровне все территориальные инспекции объединяются Федеральной службой по труду и занятости РФ (</w:t>
      </w:r>
      <w:proofErr w:type="spellStart"/>
      <w:r w:rsidRPr="00CC12CB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CC12CB">
        <w:rPr>
          <w:rFonts w:ascii="Times New Roman" w:hAnsi="Times New Roman" w:cs="Times New Roman"/>
          <w:sz w:val="28"/>
          <w:szCs w:val="28"/>
        </w:rPr>
        <w:t>), которая, в свою очередь, «подчинена» Минтруда России.</w:t>
      </w:r>
    </w:p>
    <w:p w:rsidR="00CC12CB" w:rsidRDefault="00CC12CB" w:rsidP="00CC12CB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12CB">
        <w:rPr>
          <w:rFonts w:ascii="Times New Roman" w:hAnsi="Times New Roman" w:cs="Times New Roman"/>
          <w:sz w:val="28"/>
          <w:szCs w:val="28"/>
        </w:rPr>
        <w:br/>
        <w:t> </w:t>
      </w:r>
      <w:r w:rsidRPr="00CC12CB">
        <w:rPr>
          <w:rFonts w:ascii="Times New Roman" w:hAnsi="Times New Roman" w:cs="Times New Roman"/>
          <w:sz w:val="28"/>
          <w:szCs w:val="28"/>
        </w:rPr>
        <w:br/>
        <w:t xml:space="preserve">Правильность проведения производственного контроля (или его </w:t>
      </w:r>
      <w:proofErr w:type="spellStart"/>
      <w:r w:rsidRPr="00CC12CB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CC12CB">
        <w:rPr>
          <w:rFonts w:ascii="Times New Roman" w:hAnsi="Times New Roman" w:cs="Times New Roman"/>
          <w:sz w:val="28"/>
          <w:szCs w:val="28"/>
        </w:rPr>
        <w:t>) контролируется Федеральной службой по надзору в сфере защиты прав потребителей и благополучия человека (</w:t>
      </w:r>
      <w:proofErr w:type="spellStart"/>
      <w:r w:rsidRPr="00CC12CB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CC12CB">
        <w:rPr>
          <w:rFonts w:ascii="Times New Roman" w:hAnsi="Times New Roman" w:cs="Times New Roman"/>
          <w:sz w:val="28"/>
          <w:szCs w:val="28"/>
        </w:rPr>
        <w:t>), подчиненной Правительству РФ.</w:t>
      </w:r>
    </w:p>
    <w:p w:rsidR="00CC12CB" w:rsidRDefault="00CC12CB" w:rsidP="00CC12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C12CB">
        <w:rPr>
          <w:rFonts w:ascii="Times New Roman" w:hAnsi="Times New Roman" w:cs="Times New Roman"/>
          <w:sz w:val="28"/>
          <w:szCs w:val="28"/>
        </w:rPr>
        <w:br/>
      </w:r>
      <w:r w:rsidRPr="00CC12CB">
        <w:rPr>
          <w:rFonts w:eastAsia="Times New Roman"/>
          <w:sz w:val="12"/>
          <w:szCs w:val="12"/>
        </w:rPr>
        <w:t> </w:t>
      </w:r>
      <w:r w:rsidRPr="00CC12CB">
        <w:rPr>
          <w:rFonts w:eastAsia="Times New Roman"/>
          <w:sz w:val="12"/>
          <w:szCs w:val="12"/>
        </w:rPr>
        <w:br/>
      </w:r>
      <w:r w:rsidRPr="00CC12CB">
        <w:rPr>
          <w:rFonts w:eastAsia="Times New Roman"/>
          <w:sz w:val="12"/>
          <w:szCs w:val="12"/>
        </w:rPr>
        <w:br/>
      </w:r>
      <w:r w:rsidRPr="00CC12CB">
        <w:rPr>
          <w:rFonts w:eastAsia="Times New Roman"/>
          <w:sz w:val="12"/>
          <w:szCs w:val="12"/>
        </w:rPr>
        <w:br/>
      </w:r>
      <w:r>
        <w:rPr>
          <w:rFonts w:eastAsia="Times New Roman"/>
          <w:noProof/>
          <w:sz w:val="12"/>
          <w:szCs w:val="12"/>
        </w:rPr>
        <w:drawing>
          <wp:inline distT="0" distB="0" distL="0" distR="0">
            <wp:extent cx="4191000" cy="2787650"/>
            <wp:effectExtent l="19050" t="0" r="0" b="0"/>
            <wp:docPr id="5" name="Рисунок 5" descr="http://www.trudcontrol.ru/files/editor/images/asbestos_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rudcontrol.ru/files/editor/images/asbestos_pictur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8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2CB">
        <w:rPr>
          <w:rFonts w:eastAsia="Times New Roman"/>
          <w:sz w:val="12"/>
          <w:szCs w:val="12"/>
        </w:rPr>
        <w:br/>
      </w:r>
      <w:r w:rsidRPr="00CC12CB">
        <w:rPr>
          <w:rFonts w:eastAsia="Times New Roman"/>
          <w:sz w:val="12"/>
          <w:szCs w:val="12"/>
        </w:rPr>
        <w:br/>
      </w:r>
      <w:r w:rsidRPr="00CC12CB">
        <w:rPr>
          <w:rFonts w:eastAsia="Times New Roman"/>
          <w:sz w:val="12"/>
          <w:szCs w:val="12"/>
        </w:rPr>
        <w:br/>
      </w:r>
      <w:r w:rsidRPr="00CC12CB">
        <w:rPr>
          <w:rFonts w:eastAsia="Times New Roman"/>
          <w:sz w:val="12"/>
          <w:szCs w:val="12"/>
        </w:rPr>
        <w:br/>
      </w:r>
      <w:r w:rsidRPr="00CC12CB">
        <w:rPr>
          <w:rFonts w:ascii="Times New Roman" w:eastAsia="Times New Roman" w:hAnsi="Times New Roman" w:cs="Times New Roman"/>
          <w:sz w:val="28"/>
          <w:szCs w:val="28"/>
        </w:rPr>
        <w:t>Несмотря на то, что и СОУТ, и производственный контроль, казалось бы, исходят из одного и того же положения – обеспечения безопасности труда работников, – и оценивают, в общем, одно и то же, – тем не менее, делают они это совершенно по-разному. Процедуры производственного контроля базируются на документах гигиенического нормирования (</w:t>
      </w:r>
      <w:proofErr w:type="spellStart"/>
      <w:r w:rsidRPr="00CC12CB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C12CB">
        <w:rPr>
          <w:rFonts w:ascii="Times New Roman" w:eastAsia="Times New Roman" w:hAnsi="Times New Roman" w:cs="Times New Roman"/>
          <w:sz w:val="28"/>
          <w:szCs w:val="28"/>
        </w:rPr>
        <w:t>, СН, ГН, СП). Для целей СОУТ же, напротив, используются только указания «Методики проведения специальной оценки условий труда». При этом следует отметить, что нормативные значения даже одних и тех же производственных факторов в «Методике…» и в соответствующих документах гигиенического нормирования зачастую различны, что делает затруднительным прямое сопоставление полученных для целей производственного контроля и СОУТ результатов.</w:t>
      </w:r>
    </w:p>
    <w:p w:rsidR="00CC12CB" w:rsidRDefault="00CC12CB" w:rsidP="00CC12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C12CB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 </w:t>
      </w:r>
      <w:r w:rsidRPr="00CC12CB">
        <w:rPr>
          <w:rFonts w:ascii="Times New Roman" w:eastAsia="Times New Roman" w:hAnsi="Times New Roman" w:cs="Times New Roman"/>
          <w:sz w:val="28"/>
          <w:szCs w:val="28"/>
        </w:rPr>
        <w:br/>
        <w:t xml:space="preserve">Поэтому сильно сэкономить работодателю вряд ли удастся. И хотя Федеральный закон № 426-ФЗ, пусть с оговорками, и предусматривает возможность использования для целей СОУТ протоколов измерений, полученных при проведении ПК (часть 7 статьи 12), но вопрос «обратного» использования протоколов СОУТ для целей ПК законодательно не урегулирован. Имеющееся разъяснение </w:t>
      </w:r>
      <w:proofErr w:type="spellStart"/>
      <w:r w:rsidRPr="00CC12CB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CC12CB">
        <w:rPr>
          <w:rFonts w:ascii="Times New Roman" w:eastAsia="Times New Roman" w:hAnsi="Times New Roman" w:cs="Times New Roman"/>
          <w:sz w:val="28"/>
          <w:szCs w:val="28"/>
        </w:rPr>
        <w:t xml:space="preserve"> (от 05.01.2017 г.) о возможности такого использования не имеет статуса нормативного правового акта.</w:t>
      </w:r>
    </w:p>
    <w:p w:rsidR="00CC12CB" w:rsidRPr="00CC12CB" w:rsidRDefault="00CC12CB" w:rsidP="00CC12C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2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12CB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CC12CB" w:rsidRPr="00CC12CB" w:rsidRDefault="00CC12CB" w:rsidP="00CC12CB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12CB">
        <w:rPr>
          <w:rFonts w:ascii="Times New Roman" w:eastAsia="Times New Roman" w:hAnsi="Times New Roman" w:cs="Times New Roman"/>
          <w:b/>
          <w:bCs/>
          <w:i/>
          <w:iCs/>
          <w:color w:val="DAA520"/>
          <w:sz w:val="28"/>
          <w:szCs w:val="28"/>
        </w:rPr>
        <w:t xml:space="preserve">– А какое наказание может ожидать работодателя в случае </w:t>
      </w:r>
      <w:proofErr w:type="spellStart"/>
      <w:r w:rsidRPr="00CC12CB">
        <w:rPr>
          <w:rFonts w:ascii="Times New Roman" w:eastAsia="Times New Roman" w:hAnsi="Times New Roman" w:cs="Times New Roman"/>
          <w:b/>
          <w:bCs/>
          <w:i/>
          <w:iCs/>
          <w:color w:val="DAA520"/>
          <w:sz w:val="28"/>
          <w:szCs w:val="28"/>
        </w:rPr>
        <w:t>непроведения</w:t>
      </w:r>
      <w:proofErr w:type="spellEnd"/>
      <w:r w:rsidRPr="00CC12CB">
        <w:rPr>
          <w:rFonts w:ascii="Times New Roman" w:eastAsia="Times New Roman" w:hAnsi="Times New Roman" w:cs="Times New Roman"/>
          <w:b/>
          <w:bCs/>
          <w:i/>
          <w:iCs/>
          <w:color w:val="DAA520"/>
          <w:sz w:val="28"/>
          <w:szCs w:val="28"/>
        </w:rPr>
        <w:t xml:space="preserve"> им СОУТ или производственного контроля?</w:t>
      </w:r>
    </w:p>
    <w:p w:rsidR="00CC12CB" w:rsidRDefault="00CC12CB" w:rsidP="00CC12CB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За нарушение требований санитарно-эпидемиологического законодательства (в нашем случае – не проведение либо неправильное проведение ПК) Кодексом РФ об административных правонарушениях (</w:t>
      </w:r>
      <w:proofErr w:type="spellStart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РФ) предусмотрена ответственность по статье 6.3, санкции по которой – штрафы: для ИП – от 500 до 1000 рублей, для юридических лиц – от 10000 до 20000 рублей. Сами по себе штрафы вроде бы не такие большие, но </w:t>
      </w:r>
      <w:proofErr w:type="gramStart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>этой</w:t>
      </w:r>
      <w:proofErr w:type="gramEnd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 статьей предусмотрено и административное приостановление деятельности ИП и юридических лиц на срок до 90 суток, причем в </w:t>
      </w:r>
      <w:proofErr w:type="spellStart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отсутствуют какие-либо указания на то, в каких именно случаях на работодателя налагается штраф, а в каких – приостанавливается его деятельность. А это уже гораздо серьёзнее.</w:t>
      </w:r>
    </w:p>
    <w:p w:rsidR="00CC12CB" w:rsidRPr="00CC12CB" w:rsidRDefault="00CC12CB" w:rsidP="00CC12CB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Административное наказание в отношении работодателя за </w:t>
      </w:r>
      <w:proofErr w:type="spellStart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непроведение</w:t>
      </w:r>
      <w:proofErr w:type="spellEnd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СОУТ либо нарушение порядка её проведения предусмотрено статьей 5.27.1 </w:t>
      </w:r>
      <w:proofErr w:type="spellStart"/>
      <w:proofErr w:type="gramStart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РФ, санкции по которой – штрафы (на должностных лиц и ИП – от 5000 до 10000 рублей, на юридических лиц – от 60000 до 80000 рублей), а за повторное нарушение – увеличенные штрафы (на должностных лиц и ИП – от 30000 до 40000 рублей, на юридических лиц – от 100000 до 200000 рублей), дисквалификация (в отношении должностных лиц на срок от 1 года до 3</w:t>
      </w:r>
      <w:proofErr w:type="gramEnd"/>
      <w:r w:rsidRPr="00CC12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лет) и административное приостановление деятельности (в отношении ИП и юридических лиц – до 90 суток).</w:t>
      </w:r>
    </w:p>
    <w:p w:rsidR="0089043C" w:rsidRDefault="0089043C"/>
    <w:sectPr w:rsidR="0089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C12CB"/>
    <w:rsid w:val="0089043C"/>
    <w:rsid w:val="00CC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CC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CC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CC12CB"/>
    <w:rPr>
      <w:i/>
      <w:iCs/>
    </w:rPr>
  </w:style>
  <w:style w:type="character" w:styleId="a4">
    <w:name w:val="Strong"/>
    <w:basedOn w:val="a0"/>
    <w:uiPriority w:val="22"/>
    <w:qFormat/>
    <w:rsid w:val="00CC12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2C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C12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873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1168</Words>
  <Characters>6658</Characters>
  <Application>Microsoft Office Word</Application>
  <DocSecurity>0</DocSecurity>
  <Lines>55</Lines>
  <Paragraphs>15</Paragraphs>
  <ScaleCrop>false</ScaleCrop>
  <Company>Microsoft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2019-05-22T08:19:00Z</dcterms:created>
  <dcterms:modified xsi:type="dcterms:W3CDTF">2019-05-22T08:24:00Z</dcterms:modified>
</cp:coreProperties>
</file>