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CF" w:rsidRDefault="00A850CF" w:rsidP="00A850CF">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A850CF" w:rsidRDefault="00A850CF" w:rsidP="00A850CF">
      <w:pPr>
        <w:pStyle w:val="ac"/>
        <w:numPr>
          <w:ilvl w:val="0"/>
          <w:numId w:val="2"/>
        </w:numPr>
        <w:tabs>
          <w:tab w:val="num" w:pos="0"/>
        </w:tabs>
        <w:jc w:val="center"/>
        <w:rPr>
          <w:rFonts w:ascii="Times New Roman" w:hAnsi="Times New Roman"/>
          <w:noProof/>
          <w:sz w:val="28"/>
          <w:szCs w:val="28"/>
        </w:rPr>
      </w:pPr>
    </w:p>
    <w:p w:rsidR="00A850CF" w:rsidRDefault="00A850CF" w:rsidP="00A850CF">
      <w:pPr>
        <w:pStyle w:val="ac"/>
        <w:numPr>
          <w:ilvl w:val="0"/>
          <w:numId w:val="2"/>
        </w:numPr>
        <w:tabs>
          <w:tab w:val="num" w:pos="0"/>
        </w:tabs>
        <w:jc w:val="center"/>
        <w:rPr>
          <w:rFonts w:ascii="Times New Roman" w:hAnsi="Times New Roman"/>
          <w:noProof/>
          <w:sz w:val="28"/>
          <w:szCs w:val="28"/>
          <w:lang w:val="en-US"/>
        </w:rPr>
      </w:pPr>
    </w:p>
    <w:p w:rsidR="00A850CF" w:rsidRDefault="00A850CF" w:rsidP="00A850CF">
      <w:pPr>
        <w:pStyle w:val="ac"/>
        <w:numPr>
          <w:ilvl w:val="0"/>
          <w:numId w:val="2"/>
        </w:numPr>
        <w:tabs>
          <w:tab w:val="num" w:pos="0"/>
        </w:tabs>
        <w:jc w:val="center"/>
        <w:rPr>
          <w:rFonts w:ascii="Times New Roman" w:hAnsi="Times New Roman"/>
          <w:noProof/>
          <w:sz w:val="28"/>
          <w:szCs w:val="28"/>
        </w:rPr>
      </w:pPr>
    </w:p>
    <w:p w:rsidR="00A850CF" w:rsidRDefault="00A850CF" w:rsidP="00A850CF">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A850CF" w:rsidRDefault="00A850CF" w:rsidP="00A850CF">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A850CF" w:rsidRDefault="00A850CF" w:rsidP="00A850CF">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A850CF" w:rsidRDefault="00A850CF" w:rsidP="00A850CF">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25</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C048E1">
        <w:rPr>
          <w:rFonts w:ascii="Times New Roman" w:eastAsia="Calibri" w:hAnsi="Times New Roman" w:cs="Times New Roman"/>
          <w:b/>
          <w:sz w:val="28"/>
          <w:szCs w:val="28"/>
          <w:lang w:eastAsia="en-US"/>
        </w:rPr>
        <w:t>31</w:t>
      </w:r>
      <w:r w:rsidR="00F209AC">
        <w:rPr>
          <w:rFonts w:ascii="Times New Roman" w:eastAsia="Calibri" w:hAnsi="Times New Roman" w:cs="Times New Roman"/>
          <w:b/>
          <w:sz w:val="28"/>
          <w:szCs w:val="28"/>
          <w:lang w:eastAsia="en-US"/>
        </w:rPr>
        <w:t>.</w:t>
      </w:r>
      <w:r w:rsidR="00B54BD7">
        <w:rPr>
          <w:rFonts w:ascii="Times New Roman" w:eastAsia="Calibri" w:hAnsi="Times New Roman" w:cs="Times New Roman"/>
          <w:b/>
          <w:sz w:val="28"/>
          <w:szCs w:val="28"/>
          <w:lang w:eastAsia="en-US"/>
        </w:rPr>
        <w:t>1</w:t>
      </w:r>
      <w:r w:rsidR="005C24BA">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C048E1">
        <w:rPr>
          <w:rFonts w:ascii="Times New Roman" w:eastAsia="Calibri" w:hAnsi="Times New Roman" w:cs="Times New Roman"/>
          <w:b/>
          <w:sz w:val="28"/>
          <w:szCs w:val="28"/>
          <w:lang w:eastAsia="en-US"/>
        </w:rPr>
        <w:t>5</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5C24BA">
        <w:rPr>
          <w:rFonts w:ascii="Times New Roman" w:eastAsia="Calibri" w:hAnsi="Times New Roman" w:cs="Times New Roman"/>
          <w:b/>
          <w:sz w:val="28"/>
          <w:szCs w:val="28"/>
          <w:lang w:eastAsia="en-US"/>
        </w:rPr>
        <w:t>5</w:t>
      </w:r>
      <w:r w:rsidR="00F57762">
        <w:rPr>
          <w:rFonts w:ascii="Times New Roman" w:eastAsia="Calibri" w:hAnsi="Times New Roman" w:cs="Times New Roman"/>
          <w:b/>
          <w:sz w:val="28"/>
          <w:szCs w:val="28"/>
          <w:lang w:eastAsia="en-US"/>
        </w:rPr>
        <w:t>29</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C048E1">
        <w:rPr>
          <w:rFonts w:eastAsia="Calibri"/>
          <w:b w:val="0"/>
          <w:color w:val="auto"/>
          <w:sz w:val="28"/>
          <w:szCs w:val="28"/>
          <w:lang w:eastAsia="en-US"/>
        </w:rPr>
        <w:t>31.12.</w:t>
      </w:r>
      <w:r w:rsidR="009F230E">
        <w:rPr>
          <w:rFonts w:eastAsia="Calibri"/>
          <w:b w:val="0"/>
          <w:color w:val="auto"/>
          <w:sz w:val="28"/>
          <w:szCs w:val="28"/>
          <w:lang w:eastAsia="en-US"/>
        </w:rPr>
        <w:t>201</w:t>
      </w:r>
      <w:r w:rsidR="00C048E1">
        <w:rPr>
          <w:rFonts w:eastAsia="Calibri"/>
          <w:b w:val="0"/>
          <w:color w:val="auto"/>
          <w:sz w:val="28"/>
          <w:szCs w:val="28"/>
          <w:lang w:eastAsia="en-US"/>
        </w:rPr>
        <w:t>5</w:t>
      </w:r>
      <w:r w:rsidR="00F209AC" w:rsidRPr="00F209AC">
        <w:rPr>
          <w:rFonts w:eastAsia="Calibri"/>
          <w:b w:val="0"/>
          <w:color w:val="auto"/>
          <w:sz w:val="28"/>
          <w:szCs w:val="28"/>
          <w:lang w:eastAsia="en-US"/>
        </w:rPr>
        <w:t xml:space="preserve"> года № </w:t>
      </w:r>
      <w:r w:rsidR="005C24BA">
        <w:rPr>
          <w:rFonts w:eastAsia="Calibri"/>
          <w:b w:val="0"/>
          <w:color w:val="auto"/>
          <w:sz w:val="28"/>
          <w:szCs w:val="28"/>
          <w:lang w:eastAsia="en-US"/>
        </w:rPr>
        <w:t>5</w:t>
      </w:r>
      <w:r w:rsidR="00F57762">
        <w:rPr>
          <w:rFonts w:eastAsia="Calibri"/>
          <w:b w:val="0"/>
          <w:color w:val="auto"/>
          <w:sz w:val="28"/>
          <w:szCs w:val="28"/>
          <w:lang w:eastAsia="en-US"/>
        </w:rPr>
        <w:t>29</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F57762">
        <w:rPr>
          <w:b w:val="0"/>
          <w:color w:val="auto"/>
          <w:sz w:val="28"/>
          <w:szCs w:val="28"/>
        </w:rPr>
        <w:t>Принятие решения о переводе жилого помещения в нежилое помещение и нежилого помещения в жилое помещение»</w:t>
      </w:r>
      <w:r w:rsidR="007F20B4">
        <w:rPr>
          <w:b w:val="0"/>
          <w:color w:val="auto"/>
          <w:sz w:val="28"/>
          <w:szCs w:val="28"/>
        </w:rPr>
        <w:t xml:space="preserve"> </w:t>
      </w:r>
      <w:r w:rsidR="003D72B8">
        <w:rPr>
          <w:b w:val="0"/>
          <w:color w:val="auto"/>
          <w:sz w:val="28"/>
          <w:szCs w:val="28"/>
        </w:rPr>
        <w:t xml:space="preserve">следующие </w:t>
      </w:r>
      <w:r w:rsidR="007F20B4">
        <w:rPr>
          <w:b w:val="0"/>
          <w:color w:val="auto"/>
          <w:sz w:val="28"/>
          <w:szCs w:val="28"/>
        </w:rPr>
        <w:t>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A850CF">
        <w:rPr>
          <w:color w:val="000000"/>
          <w:sz w:val="28"/>
          <w:szCs w:val="28"/>
        </w:rPr>
        <w:t xml:space="preserve">указанного в статье 15.1 </w:t>
      </w:r>
      <w:bookmarkStart w:id="0" w:name="_GoBack"/>
      <w:bookmarkEnd w:id="0"/>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A850CF">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B0" w:rsidRDefault="006C6BB0">
      <w:r>
        <w:separator/>
      </w:r>
    </w:p>
  </w:endnote>
  <w:endnote w:type="continuationSeparator" w:id="0">
    <w:p w:rsidR="006C6BB0" w:rsidRDefault="006C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B0" w:rsidRDefault="006C6BB0">
      <w:r>
        <w:separator/>
      </w:r>
    </w:p>
  </w:footnote>
  <w:footnote w:type="continuationSeparator" w:id="0">
    <w:p w:rsidR="006C6BB0" w:rsidRDefault="006C6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6C6BB0">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6C6BB0"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0CA6"/>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D72B8"/>
    <w:rsid w:val="003E1A8B"/>
    <w:rsid w:val="003E28E9"/>
    <w:rsid w:val="00410DEE"/>
    <w:rsid w:val="004217D3"/>
    <w:rsid w:val="00427B30"/>
    <w:rsid w:val="00431678"/>
    <w:rsid w:val="00463CB7"/>
    <w:rsid w:val="004A197B"/>
    <w:rsid w:val="004A761F"/>
    <w:rsid w:val="004B036C"/>
    <w:rsid w:val="004B30DD"/>
    <w:rsid w:val="00567361"/>
    <w:rsid w:val="00572692"/>
    <w:rsid w:val="00582D83"/>
    <w:rsid w:val="00591762"/>
    <w:rsid w:val="005A2C20"/>
    <w:rsid w:val="005B3DDF"/>
    <w:rsid w:val="005B7910"/>
    <w:rsid w:val="005C24BA"/>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C6BB0"/>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D14"/>
    <w:rsid w:val="00A34DEC"/>
    <w:rsid w:val="00A62495"/>
    <w:rsid w:val="00A709B4"/>
    <w:rsid w:val="00A73A99"/>
    <w:rsid w:val="00A850CF"/>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54BD7"/>
    <w:rsid w:val="00B64BEC"/>
    <w:rsid w:val="00B71E41"/>
    <w:rsid w:val="00B72BB6"/>
    <w:rsid w:val="00BB1A02"/>
    <w:rsid w:val="00BB6D8C"/>
    <w:rsid w:val="00BD4DC5"/>
    <w:rsid w:val="00BD5462"/>
    <w:rsid w:val="00C048E1"/>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57762"/>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A850C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A850C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658264700">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FBE80-229C-421C-A988-560278CB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6568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2022-03-09T10:23:00Z</dcterms:created>
  <dcterms:modified xsi:type="dcterms:W3CDTF">2022-03-09T10:23:00Z</dcterms:modified>
</cp:coreProperties>
</file>