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77" w:rsidRDefault="00B26077" w:rsidP="00B26077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77" w:rsidRDefault="00B26077" w:rsidP="00B26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26077" w:rsidRDefault="00B26077" w:rsidP="00B26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B26077" w:rsidRDefault="00B26077" w:rsidP="00B26077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26077" w:rsidRDefault="00B26077" w:rsidP="00B26077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30</w:t>
      </w:r>
      <w:r>
        <w:rPr>
          <w:sz w:val="28"/>
          <w:szCs w:val="28"/>
        </w:rPr>
        <w:t>9</w:t>
      </w:r>
    </w:p>
    <w:p w:rsidR="00B26077" w:rsidRDefault="00B26077" w:rsidP="00B26077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9D3413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D3413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21.07.2017 года № 298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B260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B26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B2607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9D3413" w:rsidRPr="009D3413">
        <w:rPr>
          <w:rFonts w:ascii="Times New Roman" w:eastAsia="Calibri" w:hAnsi="Times New Roman" w:cs="Times New Roman"/>
          <w:sz w:val="28"/>
          <w:szCs w:val="28"/>
          <w:lang w:eastAsia="en-US"/>
        </w:rPr>
        <w:t>от 21.07.2017 года № 298 «Об утверждении административного регламента</w:t>
      </w:r>
      <w:r w:rsidR="00B26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9D3413" w:rsidRPr="009D3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B2607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9D3413" w:rsidRPr="009D3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градостроительных планов</w:t>
      </w:r>
      <w:r w:rsidR="00B26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земельных участков</w:t>
      </w:r>
      <w:r w:rsidR="009D3413" w:rsidRPr="009D341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B26077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B26077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B26077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DB6CB0" w:rsidRPr="009D341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«Выдача градостроительн</w:t>
      </w:r>
      <w:r w:rsidR="00B260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ого </w:t>
      </w:r>
      <w:r w:rsidR="00DB6CB0" w:rsidRPr="009D341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план</w:t>
      </w:r>
      <w:r w:rsidR="00B260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 земельных участков</w:t>
      </w:r>
      <w:r w:rsidR="00D00A23" w:rsidRPr="009671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DB6C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B2607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967109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Pr="00967109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6077" w:rsidRDefault="00B26077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D32A9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26077"/>
    <w:rsid w:val="00B30661"/>
    <w:rsid w:val="00B45D29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03D2-67A2-494D-BA75-E203BC22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2022-04-28T06:08:00Z</cp:lastPrinted>
  <dcterms:created xsi:type="dcterms:W3CDTF">2022-05-06T05:41:00Z</dcterms:created>
  <dcterms:modified xsi:type="dcterms:W3CDTF">2022-05-06T05:41:00Z</dcterms:modified>
</cp:coreProperties>
</file>