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23" w:rsidRDefault="007A1D23" w:rsidP="007A1D23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23" w:rsidRPr="007A1D23" w:rsidRDefault="007A1D23" w:rsidP="00433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D23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A1D23" w:rsidRPr="007A1D23" w:rsidRDefault="007A1D23" w:rsidP="00433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D23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A1D23" w:rsidRPr="007A1D23" w:rsidRDefault="007A1D23" w:rsidP="007A1D23">
      <w:pPr>
        <w:pStyle w:val="ae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7A1D23">
        <w:rPr>
          <w:b/>
          <w:sz w:val="28"/>
          <w:szCs w:val="28"/>
        </w:rPr>
        <w:t>ПОСТАНОВЛЕНИЕ</w:t>
      </w:r>
    </w:p>
    <w:p w:rsidR="007A1D23" w:rsidRPr="007A1D23" w:rsidRDefault="007A1D23" w:rsidP="007A1D23">
      <w:pPr>
        <w:pStyle w:val="ae"/>
        <w:jc w:val="center"/>
        <w:rPr>
          <w:sz w:val="28"/>
          <w:szCs w:val="28"/>
        </w:rPr>
      </w:pPr>
      <w:r w:rsidRPr="007A1D23">
        <w:rPr>
          <w:sz w:val="28"/>
          <w:szCs w:val="28"/>
        </w:rPr>
        <w:t xml:space="preserve">от </w:t>
      </w:r>
      <w:r w:rsidR="00F93D5C">
        <w:rPr>
          <w:sz w:val="28"/>
          <w:szCs w:val="28"/>
          <w:lang w:val="en-US"/>
        </w:rPr>
        <w:t>10</w:t>
      </w:r>
      <w:r w:rsidRPr="007A1D23">
        <w:rPr>
          <w:sz w:val="28"/>
          <w:szCs w:val="28"/>
        </w:rPr>
        <w:t>.06.2022 года № 3</w:t>
      </w:r>
      <w:r w:rsidR="00F93D5C">
        <w:rPr>
          <w:sz w:val="28"/>
          <w:szCs w:val="28"/>
          <w:lang w:val="en-US"/>
        </w:rPr>
        <w:t>75</w:t>
      </w:r>
    </w:p>
    <w:p w:rsidR="007273A2" w:rsidRPr="007A1D23" w:rsidRDefault="007A1D23" w:rsidP="007A1D23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A1D2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A1D23">
        <w:rPr>
          <w:rFonts w:ascii="Times New Roman" w:hAnsi="Times New Roman" w:cs="Times New Roman"/>
          <w:sz w:val="28"/>
          <w:szCs w:val="28"/>
        </w:rPr>
        <w:t>. Романовка</w:t>
      </w:r>
    </w:p>
    <w:p w:rsidR="007A1D23" w:rsidRDefault="007A1D23" w:rsidP="007A1D23">
      <w:pPr>
        <w:pStyle w:val="consplusnormal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A1D23" w:rsidRDefault="009F2CE6" w:rsidP="007A1D23">
      <w:pPr>
        <w:pStyle w:val="consplusnormal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Положения</w:t>
      </w:r>
      <w:r w:rsidR="007A1D2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«Об </w:t>
      </w:r>
      <w:proofErr w:type="gramStart"/>
      <w:r>
        <w:rPr>
          <w:b/>
          <w:bCs/>
          <w:color w:val="000000"/>
          <w:sz w:val="28"/>
          <w:szCs w:val="28"/>
        </w:rPr>
        <w:t>учетной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9F2CE6" w:rsidRDefault="009F2CE6" w:rsidP="007A1D23">
      <w:pPr>
        <w:pStyle w:val="consplusnormal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политик</w:t>
      </w:r>
      <w:r w:rsidR="00E86CE9">
        <w:rPr>
          <w:b/>
          <w:bCs/>
          <w:color w:val="000000"/>
          <w:sz w:val="28"/>
          <w:szCs w:val="28"/>
        </w:rPr>
        <w:t>е</w:t>
      </w:r>
      <w:r w:rsidR="007A1D2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для целей бухгалтерского учета</w:t>
      </w:r>
    </w:p>
    <w:p w:rsidR="009F2CE6" w:rsidRDefault="009F2CE6" w:rsidP="007A1D23">
      <w:pPr>
        <w:pStyle w:val="consplusnormal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proofErr w:type="gramStart"/>
      <w:r w:rsidR="00A15743">
        <w:rPr>
          <w:b/>
          <w:bCs/>
          <w:color w:val="000000"/>
          <w:sz w:val="28"/>
          <w:szCs w:val="28"/>
        </w:rPr>
        <w:t>Романо</w:t>
      </w:r>
      <w:r>
        <w:rPr>
          <w:b/>
          <w:bCs/>
          <w:color w:val="000000"/>
          <w:sz w:val="28"/>
          <w:szCs w:val="28"/>
        </w:rPr>
        <w:t>вского</w:t>
      </w:r>
      <w:proofErr w:type="gramEnd"/>
    </w:p>
    <w:p w:rsidR="009F2CE6" w:rsidRDefault="009F2CE6" w:rsidP="007A1D23">
      <w:pPr>
        <w:pStyle w:val="consplusnormal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муниципального района</w:t>
      </w:r>
      <w:r w:rsidR="007A1D23">
        <w:rPr>
          <w:b/>
          <w:bCs/>
          <w:color w:val="000000"/>
          <w:sz w:val="28"/>
          <w:szCs w:val="28"/>
        </w:rPr>
        <w:t xml:space="preserve"> Саратовской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134E1D" w:rsidRDefault="00134E1D" w:rsidP="00134E1D">
      <w:pPr>
        <w:pStyle w:val="af5"/>
        <w:spacing w:before="0" w:line="240" w:lineRule="auto"/>
        <w:rPr>
          <w:szCs w:val="28"/>
        </w:rPr>
      </w:pPr>
    </w:p>
    <w:p w:rsidR="00B65B34" w:rsidRDefault="009F2CE6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 В соответствии с Законом от 06.12.2011 № 402-ФЗ "О бухгалтерском учете",  Федеральн</w:t>
      </w:r>
      <w:r w:rsidR="007A1D23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</w:t>
      </w:r>
      <w:r w:rsidR="007A1D2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«Учетная политика, оценочные значения и ошибки» (утв. при</w:t>
      </w:r>
      <w:r w:rsidR="00A15743">
        <w:rPr>
          <w:rFonts w:ascii="Times New Roman" w:eastAsia="Times New Roman" w:hAnsi="Times New Roman" w:cs="Times New Roman"/>
          <w:color w:val="000000"/>
          <w:sz w:val="28"/>
          <w:szCs w:val="28"/>
        </w:rPr>
        <w:t>казом Минфина от 30.12.2017 № 2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4н)</w:t>
      </w:r>
      <w:r w:rsidR="00611D9E"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F4785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вского муниципального района  </w:t>
      </w:r>
    </w:p>
    <w:p w:rsidR="00F4785E" w:rsidRDefault="00F4785E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2CE6" w:rsidRPr="00F4785E" w:rsidRDefault="00F4785E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2CE6" w:rsidRPr="009F2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 </w:t>
      </w:r>
    </w:p>
    <w:p w:rsidR="00F4785E" w:rsidRPr="009F2CE6" w:rsidRDefault="00F4785E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F2CE6" w:rsidRPr="009F2CE6" w:rsidRDefault="009F2CE6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1. Утвердить положение об учетной политик</w:t>
      </w:r>
      <w:r w:rsidR="00611D9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целей бухгалтерского учета согласно приложению. </w:t>
      </w:r>
    </w:p>
    <w:p w:rsidR="009F2CE6" w:rsidRPr="009F2CE6" w:rsidRDefault="009F2CE6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2. Довести до всех подразделений и служб учреждения соответствующие документы, необходимые для обеспечения реализации учетной политики в учреждении и организации бухгалтерского учета, документооборота, санкционирования расходов учреждения. </w:t>
      </w:r>
    </w:p>
    <w:p w:rsidR="009F2CE6" w:rsidRPr="009F2CE6" w:rsidRDefault="009F2CE6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="00B65B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.Постановление вступает в силу с момента подписания и распространяет</w:t>
      </w:r>
    </w:p>
    <w:p w:rsidR="009F2CE6" w:rsidRPr="009F2CE6" w:rsidRDefault="009F2CE6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 действия на </w:t>
      </w:r>
      <w:proofErr w:type="gramStart"/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правоотношения</w:t>
      </w:r>
      <w:proofErr w:type="gramEnd"/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1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возникшие 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с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134E1D" w:rsidRPr="00134E1D" w:rsidRDefault="00B65B34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6D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40A5" w:rsidRPr="00DA40A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134E1D" w:rsidRPr="00134E1D" w:rsidRDefault="00B65B34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56D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E3D5D" w:rsidRDefault="001E3D5D" w:rsidP="001E3D5D">
      <w:pPr>
        <w:pStyle w:val="af5"/>
        <w:spacing w:before="0" w:line="240" w:lineRule="auto"/>
        <w:ind w:left="709" w:firstLine="0"/>
        <w:rPr>
          <w:szCs w:val="28"/>
        </w:rPr>
      </w:pPr>
    </w:p>
    <w:p w:rsidR="001E3D5D" w:rsidRDefault="001E3D5D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:rsidR="00611D9E" w:rsidRDefault="00611D9E" w:rsidP="007A1D23">
      <w:pPr>
        <w:pStyle w:val="af3"/>
        <w:spacing w:after="0" w:line="240" w:lineRule="auto"/>
        <w:ind w:right="28"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611D9E" w:rsidRDefault="00611D9E" w:rsidP="007A1D23">
      <w:pPr>
        <w:pStyle w:val="af3"/>
        <w:spacing w:after="0" w:line="240" w:lineRule="auto"/>
        <w:ind w:right="28"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7A1D23" w:rsidRDefault="001355FC" w:rsidP="007A1D23">
      <w:pPr>
        <w:pStyle w:val="af3"/>
        <w:spacing w:after="0" w:line="240" w:lineRule="auto"/>
        <w:ind w:right="28"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90436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7A1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36E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7A1D23" w:rsidRDefault="007A1D23" w:rsidP="007A1D23">
      <w:pPr>
        <w:pStyle w:val="af3"/>
        <w:spacing w:after="0" w:line="240" w:lineRule="auto"/>
        <w:ind w:right="28"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934B43" w:rsidRPr="0090436E">
        <w:rPr>
          <w:rFonts w:ascii="Times New Roman" w:eastAsia="Times New Roman" w:hAnsi="Times New Roman" w:cs="Times New Roman"/>
          <w:sz w:val="24"/>
          <w:szCs w:val="24"/>
        </w:rPr>
        <w:t>Романовского</w:t>
      </w:r>
      <w:proofErr w:type="gramEnd"/>
      <w:r w:rsidR="00934B43" w:rsidRPr="00904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1D23" w:rsidRDefault="00934B43" w:rsidP="007A1D23">
      <w:pPr>
        <w:pStyle w:val="af3"/>
        <w:spacing w:after="0" w:line="240" w:lineRule="auto"/>
        <w:ind w:right="28"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90436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</w:p>
    <w:p w:rsidR="007A1D23" w:rsidRDefault="00934B43" w:rsidP="007A1D23">
      <w:pPr>
        <w:pStyle w:val="af3"/>
        <w:spacing w:after="0" w:line="240" w:lineRule="auto"/>
        <w:ind w:right="28"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90436E">
        <w:rPr>
          <w:rFonts w:ascii="Times New Roman" w:eastAsia="Times New Roman" w:hAnsi="Times New Roman" w:cs="Times New Roman"/>
          <w:sz w:val="24"/>
          <w:szCs w:val="24"/>
        </w:rPr>
        <w:t>Саратовской области</w:t>
      </w:r>
      <w:r w:rsidR="007A1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55FC" w:rsidRPr="001355FC" w:rsidRDefault="001355FC" w:rsidP="007A1D23">
      <w:pPr>
        <w:pStyle w:val="af3"/>
        <w:spacing w:after="0" w:line="240" w:lineRule="auto"/>
        <w:ind w:right="28"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90436E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A1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6209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7A1D23">
        <w:rPr>
          <w:rFonts w:ascii="Times New Roman" w:eastAsia="Times New Roman" w:hAnsi="Times New Roman" w:cs="Times New Roman"/>
          <w:sz w:val="24"/>
          <w:szCs w:val="24"/>
        </w:rPr>
        <w:t>.06.</w:t>
      </w:r>
      <w:r w:rsidRPr="0090436E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7A1D2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90436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1355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A1D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3B6209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="007A1D23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355F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55FC" w:rsidRPr="001355FC" w:rsidRDefault="001355FC" w:rsidP="001355FC">
      <w:pPr>
        <w:pStyle w:val="af3"/>
        <w:ind w:right="30"/>
        <w:rPr>
          <w:rFonts w:ascii="Times New Roman" w:eastAsia="Times New Roman" w:hAnsi="Times New Roman" w:cs="Times New Roman"/>
          <w:sz w:val="28"/>
          <w:szCs w:val="28"/>
        </w:rPr>
      </w:pPr>
    </w:p>
    <w:p w:rsidR="007A1D23" w:rsidRDefault="008E7B58" w:rsidP="007A1D23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D2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4785E" w:rsidRPr="007A1D23" w:rsidRDefault="008E7B58" w:rsidP="007A1D23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D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274F" w:rsidRPr="007A1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учетной политик</w:t>
      </w:r>
      <w:r w:rsidR="00E86CE9" w:rsidRPr="007A1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DD274F" w:rsidRPr="007A1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целей бухгалтерского учета</w:t>
      </w:r>
    </w:p>
    <w:p w:rsidR="00F4785E" w:rsidRPr="007A1D23" w:rsidRDefault="007A1D23" w:rsidP="007A1D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4785E" w:rsidRPr="007A1D23">
        <w:rPr>
          <w:rFonts w:ascii="Times New Roman" w:eastAsia="Times New Roman" w:hAnsi="Times New Roman" w:cs="Times New Roman"/>
          <w:b/>
          <w:sz w:val="28"/>
          <w:szCs w:val="28"/>
        </w:rPr>
        <w:t>дминистрации Романовского муниципального района Саратовской области</w:t>
      </w:r>
    </w:p>
    <w:p w:rsidR="00F4785E" w:rsidRPr="005D10E9" w:rsidRDefault="00F4785E" w:rsidP="00F478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85E" w:rsidRPr="005D10E9" w:rsidRDefault="00F4785E" w:rsidP="00F478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         Учетная политика администрации Романовского муниципального района Саратовской области </w:t>
      </w:r>
      <w:r w:rsidR="00E86CE9">
        <w:rPr>
          <w:rFonts w:ascii="Times New Roman" w:eastAsia="Times New Roman" w:hAnsi="Times New Roman" w:cs="Times New Roman"/>
          <w:sz w:val="28"/>
          <w:szCs w:val="28"/>
        </w:rPr>
        <w:t>утверждается постановлением администрации Романовского муниципального района.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 xml:space="preserve">         Учетная политика определяет принципы, методы, процедуры и правила ведения бюджетного учета администрации Романовского муниципального района Саратовской области (далее - администрация РМР). 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 xml:space="preserve">        Ведение бухгалтерского и налогового учета в администрации РМР осуществляет на основании договора о бухгалтерском и хозяйственном обслуживании  Муниципально</w:t>
      </w:r>
      <w:r w:rsidR="007A1D23">
        <w:rPr>
          <w:sz w:val="28"/>
          <w:szCs w:val="28"/>
        </w:rPr>
        <w:t>го</w:t>
      </w:r>
      <w:r w:rsidRPr="005D10E9">
        <w:rPr>
          <w:sz w:val="28"/>
          <w:szCs w:val="28"/>
        </w:rPr>
        <w:t xml:space="preserve"> учреждени</w:t>
      </w:r>
      <w:r w:rsidR="007A1D23">
        <w:rPr>
          <w:sz w:val="28"/>
          <w:szCs w:val="28"/>
        </w:rPr>
        <w:t>я</w:t>
      </w:r>
      <w:r w:rsidRPr="005D10E9">
        <w:rPr>
          <w:sz w:val="28"/>
          <w:szCs w:val="28"/>
        </w:rPr>
        <w:t xml:space="preserve"> «Центр финансово-хозяйственного обеспечения Романовского муниципального района</w:t>
      </w:r>
      <w:proofErr w:type="gramStart"/>
      <w:r w:rsidRPr="005D10E9">
        <w:rPr>
          <w:sz w:val="28"/>
          <w:szCs w:val="28"/>
        </w:rPr>
        <w:t>»(</w:t>
      </w:r>
      <w:proofErr w:type="gramEnd"/>
      <w:r w:rsidRPr="005D10E9">
        <w:rPr>
          <w:sz w:val="28"/>
          <w:szCs w:val="28"/>
        </w:rPr>
        <w:t>далее –МУ «ЦФХО РМР»), учредителем которого является администраци</w:t>
      </w:r>
      <w:r w:rsidR="00E86CE9">
        <w:rPr>
          <w:sz w:val="28"/>
          <w:szCs w:val="28"/>
        </w:rPr>
        <w:t>я</w:t>
      </w:r>
      <w:r w:rsidRPr="005D10E9">
        <w:rPr>
          <w:sz w:val="28"/>
          <w:szCs w:val="28"/>
        </w:rPr>
        <w:t xml:space="preserve">   РМР.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firstLine="851"/>
        <w:rPr>
          <w:sz w:val="28"/>
          <w:szCs w:val="28"/>
        </w:rPr>
      </w:pPr>
      <w:proofErr w:type="gramStart"/>
      <w:r w:rsidRPr="005D10E9">
        <w:rPr>
          <w:sz w:val="28"/>
          <w:szCs w:val="28"/>
        </w:rPr>
        <w:t>Бухгалтерский учет в администрации РМР ведется в соответствии с Рабочим планом</w:t>
      </w:r>
      <w:r w:rsidR="00E86CE9">
        <w:rPr>
          <w:sz w:val="28"/>
          <w:szCs w:val="28"/>
        </w:rPr>
        <w:t xml:space="preserve"> </w:t>
      </w:r>
      <w:r w:rsidRPr="005D10E9">
        <w:rPr>
          <w:sz w:val="28"/>
          <w:szCs w:val="28"/>
        </w:rPr>
        <w:t>счетов бюджетного учета, разработанного в соответствии с Инструкцией 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</w:t>
      </w:r>
      <w:r w:rsidR="00E86CE9">
        <w:rPr>
          <w:sz w:val="28"/>
          <w:szCs w:val="28"/>
        </w:rPr>
        <w:t xml:space="preserve"> </w:t>
      </w:r>
      <w:r w:rsidRPr="005D10E9">
        <w:rPr>
          <w:sz w:val="28"/>
          <w:szCs w:val="28"/>
        </w:rPr>
        <w:t>государственными внебюджетными фондами, государственных академий наук, государственных (муниципальных) учреждений, утвержденной  Приказом Минфина России от 01.12.2010 № 157н (далее – Инструкция № 157н) и планом счетов бюджетного</w:t>
      </w:r>
      <w:proofErr w:type="gramEnd"/>
      <w:r w:rsidRPr="005D10E9">
        <w:rPr>
          <w:sz w:val="28"/>
          <w:szCs w:val="28"/>
        </w:rPr>
        <w:t xml:space="preserve"> учета, утвержденного Приказом Минфина России от 06.12.2010 № 162н (далее – План счетов бюджетного учета)</w:t>
      </w:r>
      <w:r w:rsidR="007A1D23">
        <w:rPr>
          <w:sz w:val="28"/>
          <w:szCs w:val="28"/>
        </w:rPr>
        <w:t>.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 xml:space="preserve">Форма ведения бухгалтерского учета – автоматизированная с применением специализированной бухгалтерской программы АС СМЕТА. 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>Администрацией РМР при осуществлении своей деятельности применяются следующие коды вида финансового обеспечения (деятельности):</w:t>
      </w:r>
    </w:p>
    <w:p w:rsidR="00F4785E" w:rsidRPr="005D10E9" w:rsidRDefault="00F4785E" w:rsidP="00F478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«1» – бюджетная деятельность;</w:t>
      </w:r>
    </w:p>
    <w:p w:rsidR="00F4785E" w:rsidRPr="005D10E9" w:rsidRDefault="00F4785E" w:rsidP="00F478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«3» – средства во временном распоряжении.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>Первичные документы  составленные по унифицированным формам или самостоятельно разработанным формам при наличии обязательных реквизитов систематизируются в хронологическом порядке и отражаются накопительным способом в регистрах бухгалтерского учет</w:t>
      </w:r>
      <w:proofErr w:type="gramStart"/>
      <w:r w:rsidRPr="005D10E9">
        <w:rPr>
          <w:sz w:val="28"/>
          <w:szCs w:val="28"/>
        </w:rPr>
        <w:t>а-</w:t>
      </w:r>
      <w:proofErr w:type="gramEnd"/>
      <w:r w:rsidRPr="005D10E9">
        <w:rPr>
          <w:sz w:val="28"/>
          <w:szCs w:val="28"/>
        </w:rPr>
        <w:t xml:space="preserve"> Журналах операций. 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лица, составившие и подписавшие. 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lastRenderedPageBreak/>
        <w:t xml:space="preserve">Регистры бухгалтерского учета (копии электронных регистров) хранятся на бумажных носителях. Хранение первичных учетных документов организуется в соответствии с разд. 4.1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утвержденного Приказом </w:t>
      </w:r>
      <w:proofErr w:type="spellStart"/>
      <w:r w:rsidRPr="005D10E9">
        <w:rPr>
          <w:sz w:val="28"/>
          <w:szCs w:val="28"/>
        </w:rPr>
        <w:t>Росархива</w:t>
      </w:r>
      <w:proofErr w:type="spellEnd"/>
      <w:r w:rsidRPr="005D10E9">
        <w:rPr>
          <w:sz w:val="28"/>
          <w:szCs w:val="28"/>
        </w:rPr>
        <w:t xml:space="preserve"> от 20.12.2019г. № 236- не менее пяти лет.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 xml:space="preserve">Состав постоянно действующей комиссии по поступлению и выбытию активов устанавливается отдельным распоряжением </w:t>
      </w:r>
      <w:r w:rsidR="00611D9E">
        <w:rPr>
          <w:sz w:val="28"/>
          <w:szCs w:val="28"/>
        </w:rPr>
        <w:t xml:space="preserve">администрации </w:t>
      </w:r>
      <w:r w:rsidR="00442F5B">
        <w:rPr>
          <w:sz w:val="28"/>
          <w:szCs w:val="28"/>
        </w:rPr>
        <w:t xml:space="preserve"> Романовского муниципального района.</w:t>
      </w:r>
      <w:r w:rsidRPr="00611D9E">
        <w:rPr>
          <w:color w:val="FF0000"/>
          <w:sz w:val="28"/>
          <w:szCs w:val="28"/>
        </w:rPr>
        <w:t xml:space="preserve"> 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 xml:space="preserve">Для проведения инвентаризации в администрации РМР создается постоянно действующая (инвентаризационная) комиссия. Состав комиссии устанавливается отдельным распоряжением </w:t>
      </w:r>
      <w:r w:rsidR="00611D9E" w:rsidRPr="00611D9E">
        <w:rPr>
          <w:color w:val="000000" w:themeColor="text1"/>
          <w:sz w:val="28"/>
          <w:szCs w:val="28"/>
        </w:rPr>
        <w:t>админ</w:t>
      </w:r>
      <w:r w:rsidR="00611D9E">
        <w:rPr>
          <w:color w:val="000000" w:themeColor="text1"/>
          <w:sz w:val="28"/>
          <w:szCs w:val="28"/>
        </w:rPr>
        <w:t>истрации Романовского муниципального района</w:t>
      </w:r>
      <w:r w:rsidRPr="00611D9E">
        <w:rPr>
          <w:color w:val="FF0000"/>
          <w:sz w:val="28"/>
          <w:szCs w:val="28"/>
        </w:rPr>
        <w:t xml:space="preserve">. </w:t>
      </w:r>
      <w:r w:rsidRPr="005D10E9">
        <w:rPr>
          <w:sz w:val="28"/>
          <w:szCs w:val="28"/>
        </w:rPr>
        <w:t xml:space="preserve">Деятельность инвентаризационной комиссии осуществляется в соответствии </w:t>
      </w:r>
      <w:r w:rsidR="007A1D23">
        <w:rPr>
          <w:sz w:val="28"/>
          <w:szCs w:val="28"/>
        </w:rPr>
        <w:t xml:space="preserve"> с </w:t>
      </w:r>
      <w:r w:rsidRPr="005D10E9">
        <w:rPr>
          <w:sz w:val="28"/>
          <w:szCs w:val="28"/>
        </w:rPr>
        <w:t xml:space="preserve">Положением об инвентаризации активов, имущества на </w:t>
      </w:r>
      <w:proofErr w:type="spellStart"/>
      <w:r w:rsidRPr="005D10E9">
        <w:rPr>
          <w:sz w:val="28"/>
          <w:szCs w:val="28"/>
        </w:rPr>
        <w:t>забалансовых</w:t>
      </w:r>
      <w:proofErr w:type="spellEnd"/>
      <w:r w:rsidRPr="005D10E9">
        <w:rPr>
          <w:sz w:val="28"/>
          <w:szCs w:val="28"/>
        </w:rPr>
        <w:t xml:space="preserve"> счетах, обязательств, других объектов учета администрации РМР, приведенным в приложении к настоящей Учетной политике. </w:t>
      </w:r>
    </w:p>
    <w:p w:rsidR="00F4785E" w:rsidRPr="005D10E9" w:rsidRDefault="00F4785E" w:rsidP="00F4785E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>Учетная политика устанавливает Порядок признания событий после отчетной даты в учете и отчетности. Событие после отчетной даты - событие, которое имело место в период между отчетной датой и датой подписания отчетности с учетом существенности фактов хозяйственной жизни. Ответственным за принятие решения об отражении событий после отчетной даты в учете и отчетности является главный бухгалтер.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Существенной информацией признается информация, пропуск или искажение которой влияет на экономическое решение пользователей информации, принимаемое на основании данных учета или отчетности.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Учетная политика устанавливает Порядок определения стоимостных оценок объектов имущества, порядок и периодичность определения объектов имущества, не соответствующих критериям актива. 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справедливой стоимости объектов имущества осуществляется комиссией по поступлению и выбытию активов при поступлении объектов нефинансовых активов: 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firstLine="851"/>
        <w:rPr>
          <w:sz w:val="28"/>
          <w:szCs w:val="28"/>
        </w:rPr>
      </w:pPr>
      <w:r w:rsidRPr="005D10E9">
        <w:rPr>
          <w:sz w:val="28"/>
          <w:szCs w:val="28"/>
        </w:rPr>
        <w:t>-полученных в рамках необменных операций, в том числе в порядке: дарения (безвозмездного получения), принятия выморочного имущества, получения объектов по распоряжению собственника без указания стоимостных оценок, при выявлении объектов, созданных в рамках ремонтных работ, при выявлении в ходе инвентаризации неучтенных объектов, по которым утрачены приходные документы,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firstLine="851"/>
        <w:rPr>
          <w:sz w:val="28"/>
          <w:szCs w:val="28"/>
        </w:rPr>
      </w:pPr>
      <w:r w:rsidRPr="005D10E9">
        <w:rPr>
          <w:sz w:val="28"/>
          <w:szCs w:val="28"/>
        </w:rPr>
        <w:t>-предназначенных для отчуждения не в пользу организаций государственного сектора,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firstLine="851"/>
        <w:rPr>
          <w:sz w:val="28"/>
          <w:szCs w:val="28"/>
        </w:rPr>
      </w:pPr>
      <w:r w:rsidRPr="005D10E9">
        <w:rPr>
          <w:sz w:val="28"/>
          <w:szCs w:val="28"/>
        </w:rPr>
        <w:t>-полученных в рамках договоров аренды, договоров безвозмездного пользования, предусматривающих предоставление имущества в возмездное пользование по цене значительно ниже рыночной стоимости.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firstLine="851"/>
        <w:rPr>
          <w:sz w:val="28"/>
          <w:szCs w:val="28"/>
        </w:rPr>
      </w:pPr>
      <w:r w:rsidRPr="005D10E9">
        <w:rPr>
          <w:sz w:val="28"/>
          <w:szCs w:val="28"/>
        </w:rPr>
        <w:t>Определение справедливой стоимости объектов имущества так же осуществляется</w:t>
      </w:r>
      <w:r w:rsidR="009D4806">
        <w:rPr>
          <w:sz w:val="28"/>
          <w:szCs w:val="28"/>
        </w:rPr>
        <w:t xml:space="preserve"> </w:t>
      </w:r>
      <w:r w:rsidRPr="005D10E9">
        <w:rPr>
          <w:sz w:val="28"/>
          <w:szCs w:val="28"/>
        </w:rPr>
        <w:t>при расчете убытка при обесценении, при определении размера ущерба, причиненного хищениями, недостачами.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Методом определения справедливой стоимости является метод рыночных цен, а при невозможности использовать его – метод амортизированной стоимости замещения.</w:t>
      </w:r>
    </w:p>
    <w:p w:rsidR="00F4785E" w:rsidRPr="005D10E9" w:rsidRDefault="00F4785E" w:rsidP="007A1D23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 xml:space="preserve">Методы оценки учета материальных ценностей на </w:t>
      </w:r>
      <w:proofErr w:type="spellStart"/>
      <w:r w:rsidRPr="005D10E9">
        <w:rPr>
          <w:sz w:val="28"/>
          <w:szCs w:val="28"/>
        </w:rPr>
        <w:t>забалансовых</w:t>
      </w:r>
      <w:proofErr w:type="spellEnd"/>
      <w:r w:rsidRPr="005D10E9">
        <w:rPr>
          <w:sz w:val="28"/>
          <w:szCs w:val="28"/>
        </w:rPr>
        <w:t xml:space="preserve"> счетах: 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>-по остаточной стоимости (при наличии);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>-в условной оценке один объект, один рубль – при полной амортизации объекта, при нулевой остаточной стоимости, при отсутствии стоимостных оценок;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>-по стоимости, указанной в документе передающей стороной.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Оценка соответствия объектов имущества понятию «Актив» проводится:  в рамках годовой инвентаризации, проводимой в целях составления годовой отчетности и в течение года – по мере необходимости.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Объекты основных средств, принятые к учету в составе основных средств, в отношении которых комиссией по поступлению и выбытию активов установлена неэффективность дальнейшей эксплуатации, ремонта, восстановления (несоответствие критериям актива), подлежат отражению на </w:t>
      </w:r>
      <w:proofErr w:type="spellStart"/>
      <w:r w:rsidRPr="005D10E9">
        <w:rPr>
          <w:rFonts w:ascii="Times New Roman" w:eastAsia="Times New Roman" w:hAnsi="Times New Roman" w:cs="Times New Roman"/>
          <w:sz w:val="28"/>
          <w:szCs w:val="28"/>
        </w:rPr>
        <w:t>забалансовом</w:t>
      </w:r>
      <w:proofErr w:type="spellEnd"/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 счете 02 «Материальные ценности, принятые на хранение» до дальнейшего определения функционального назначения указанного имущества. </w:t>
      </w:r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Для целей бухгалтерского учета осуществляется классификация (</w:t>
      </w:r>
      <w:proofErr w:type="spellStart"/>
      <w:r w:rsidRPr="005D10E9">
        <w:rPr>
          <w:rFonts w:ascii="Times New Roman" w:eastAsia="Times New Roman" w:hAnsi="Times New Roman" w:cs="Times New Roman"/>
          <w:sz w:val="28"/>
          <w:szCs w:val="28"/>
        </w:rPr>
        <w:t>реклассификация</w:t>
      </w:r>
      <w:proofErr w:type="spellEnd"/>
      <w:r w:rsidRPr="005D10E9">
        <w:rPr>
          <w:rFonts w:ascii="Times New Roman" w:eastAsia="Times New Roman" w:hAnsi="Times New Roman" w:cs="Times New Roman"/>
          <w:sz w:val="28"/>
          <w:szCs w:val="28"/>
        </w:rPr>
        <w:t>) объектов при получении (передаче) во временное владение (пользование) на основании профессионального суждения лица, ответственного за учет объектов аренды, имущества в соответствии с критериями, установленными федеральными стандартами «Основные средства», «Аренда» (для определения вида арендных платежей и применение СГС «Аренда» к передаваемому имуществу).</w:t>
      </w:r>
    </w:p>
    <w:p w:rsidR="00F4785E" w:rsidRPr="005D10E9" w:rsidRDefault="00F4785E" w:rsidP="00FA7B61">
      <w:pPr>
        <w:pStyle w:val="11"/>
        <w:numPr>
          <w:ilvl w:val="0"/>
          <w:numId w:val="0"/>
        </w:numPr>
        <w:ind w:firstLine="851"/>
        <w:rPr>
          <w:sz w:val="28"/>
          <w:szCs w:val="28"/>
        </w:rPr>
      </w:pPr>
      <w:r w:rsidRPr="005D10E9">
        <w:rPr>
          <w:sz w:val="28"/>
          <w:szCs w:val="28"/>
        </w:rPr>
        <w:t xml:space="preserve">Для обеспечения </w:t>
      </w:r>
      <w:proofErr w:type="gramStart"/>
      <w:r w:rsidRPr="005D10E9">
        <w:rPr>
          <w:sz w:val="28"/>
          <w:szCs w:val="28"/>
        </w:rPr>
        <w:t>контроля за</w:t>
      </w:r>
      <w:proofErr w:type="gramEnd"/>
      <w:r w:rsidRPr="005D10E9">
        <w:rPr>
          <w:sz w:val="28"/>
          <w:szCs w:val="28"/>
        </w:rPr>
        <w:t xml:space="preserve"> сохранностью объектов основных средств каждому</w:t>
      </w:r>
      <w:r w:rsidR="009D4806">
        <w:rPr>
          <w:sz w:val="28"/>
          <w:szCs w:val="28"/>
        </w:rPr>
        <w:t xml:space="preserve"> </w:t>
      </w:r>
      <w:r w:rsidRPr="005D10E9">
        <w:rPr>
          <w:sz w:val="28"/>
          <w:szCs w:val="28"/>
        </w:rPr>
        <w:t>инвентарному объекту недвижимого имущества, а также движимого имущества, кроме объектов стоимостью до 10 000 руб. включительно, присваивается уникальный инвентарный порядковый номер.</w:t>
      </w:r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В тех случаях, когда инвентарный объект имеет несколько частей, имеющих разный срок полезного использования и учитываемых как самостоятельные инвентарные объекты, каждой части присваивать отдельный инвентарный номер. </w:t>
      </w:r>
    </w:p>
    <w:p w:rsidR="00F4785E" w:rsidRPr="005D10E9" w:rsidRDefault="00F4785E" w:rsidP="007A1D23">
      <w:pPr>
        <w:pStyle w:val="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>Начисление амортизации основных средств осуществляется линейным методом.</w:t>
      </w:r>
    </w:p>
    <w:p w:rsidR="00F4785E" w:rsidRPr="005D10E9" w:rsidRDefault="00F4785E" w:rsidP="007A1D23">
      <w:pPr>
        <w:pStyle w:val="11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>Обоснование: приносит одинаковую выгоду в течение всего периода эксплуатации, а полезность уменьшается равномерно.</w:t>
      </w:r>
    </w:p>
    <w:p w:rsidR="00F4785E" w:rsidRPr="005D10E9" w:rsidRDefault="00F4785E" w:rsidP="007A1D2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Учетной политикой определена  оценка материальных запасов, приобретенных за плату - осуществляется по фактической стоимости приобретения с учетом расходов, связанных с их приобретением. </w:t>
      </w:r>
    </w:p>
    <w:p w:rsidR="00F4785E" w:rsidRPr="005D10E9" w:rsidRDefault="00F4785E" w:rsidP="007A1D2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Списание (выбытие, отпуск) материальных запасов производится по фактической стоимости.</w:t>
      </w:r>
    </w:p>
    <w:p w:rsidR="00F4785E" w:rsidRPr="005D10E9" w:rsidRDefault="00F4785E" w:rsidP="007A1D2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Фактическая стоимость материальных запасов, полученных в результате ремонта, разработки, утилизации (ликвидации) основных средств или иного имущества, определяется исходя </w:t>
      </w:r>
      <w:proofErr w:type="gramStart"/>
      <w:r w:rsidRPr="005D10E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D10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785E" w:rsidRPr="005D10E9" w:rsidRDefault="00F4785E" w:rsidP="007A1D23">
      <w:pPr>
        <w:pStyle w:val="10"/>
        <w:numPr>
          <w:ilvl w:val="4"/>
          <w:numId w:val="11"/>
        </w:numPr>
        <w:rPr>
          <w:sz w:val="28"/>
          <w:szCs w:val="28"/>
        </w:rPr>
      </w:pPr>
      <w:r w:rsidRPr="005D10E9">
        <w:rPr>
          <w:sz w:val="28"/>
          <w:szCs w:val="28"/>
        </w:rPr>
        <w:t>их справедливой стоимости на дату принятия к бухгалтерскому учету, рассчитанной методом рыночных цен;</w:t>
      </w:r>
    </w:p>
    <w:p w:rsidR="00F4785E" w:rsidRPr="005D10E9" w:rsidRDefault="00F4785E" w:rsidP="007A1D23">
      <w:pPr>
        <w:pStyle w:val="10"/>
        <w:numPr>
          <w:ilvl w:val="4"/>
          <w:numId w:val="11"/>
        </w:numPr>
        <w:rPr>
          <w:sz w:val="28"/>
          <w:szCs w:val="28"/>
        </w:rPr>
      </w:pPr>
      <w:r w:rsidRPr="005D10E9">
        <w:rPr>
          <w:sz w:val="28"/>
          <w:szCs w:val="28"/>
        </w:rPr>
        <w:lastRenderedPageBreak/>
        <w:t>сумм, уплачиваемых учреждением за доставку материальных запасов, приведение их в состояние, пригодное для использования.</w:t>
      </w:r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Учет доходов осуществляется в разрезе учетных групп: доходы от обменных и необменных операций. Доходы отражаются в учете в стоимостной форме. Доход оценивается в полной сумме ожидаемого получения экономических выгод и полезного потенциала.</w:t>
      </w:r>
    </w:p>
    <w:p w:rsidR="00F4785E" w:rsidRPr="005D10E9" w:rsidRDefault="00F4785E" w:rsidP="007A1D23">
      <w:pPr>
        <w:pStyle w:val="111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 xml:space="preserve">     Доходы от необменных операций: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left="709"/>
        <w:rPr>
          <w:sz w:val="28"/>
          <w:szCs w:val="28"/>
        </w:rPr>
      </w:pPr>
      <w:r w:rsidRPr="005D10E9">
        <w:rPr>
          <w:sz w:val="28"/>
          <w:szCs w:val="28"/>
        </w:rPr>
        <w:t xml:space="preserve">-Доходы от безвозмездных поступлений от бюджетов (субвенции областного и федерального бюджета); 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left="709"/>
        <w:rPr>
          <w:sz w:val="28"/>
          <w:szCs w:val="28"/>
        </w:rPr>
      </w:pPr>
      <w:r w:rsidRPr="005D10E9">
        <w:rPr>
          <w:sz w:val="28"/>
          <w:szCs w:val="28"/>
        </w:rPr>
        <w:t xml:space="preserve">-Доходы от штрафов, пеней, неустоек, возмещения ущерба; 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left="709"/>
        <w:rPr>
          <w:sz w:val="28"/>
          <w:szCs w:val="28"/>
        </w:rPr>
      </w:pPr>
      <w:r w:rsidRPr="005D10E9">
        <w:rPr>
          <w:sz w:val="28"/>
          <w:szCs w:val="28"/>
        </w:rPr>
        <w:t>-Прочие доходы (безвозмездные поступления).</w:t>
      </w:r>
    </w:p>
    <w:p w:rsidR="00F4785E" w:rsidRPr="005D10E9" w:rsidRDefault="00F4785E" w:rsidP="007A1D23">
      <w:pPr>
        <w:pStyle w:val="111"/>
        <w:numPr>
          <w:ilvl w:val="0"/>
          <w:numId w:val="0"/>
        </w:numPr>
        <w:ind w:left="709"/>
        <w:rPr>
          <w:sz w:val="28"/>
          <w:szCs w:val="28"/>
        </w:rPr>
      </w:pPr>
      <w:r w:rsidRPr="005D10E9">
        <w:rPr>
          <w:sz w:val="28"/>
          <w:szCs w:val="28"/>
        </w:rPr>
        <w:t>Признание в учете доходов: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Доходы будущих периодов признаются по факту возникновения права на их получение от передающей стороны (дата подписания соглашения, уведомления и т.д.).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Текущие доходы переводятся из состава доходов будущих периодов (в части отчетного периода) - по мере достижения целей, условий на которые были выделены средства, на основании отчета о выполнении условий предоставления активов.</w:t>
      </w:r>
    </w:p>
    <w:p w:rsidR="00F4785E" w:rsidRPr="005D10E9" w:rsidRDefault="00F4785E" w:rsidP="007A1D23">
      <w:pPr>
        <w:pStyle w:val="111"/>
        <w:numPr>
          <w:ilvl w:val="0"/>
          <w:numId w:val="0"/>
        </w:numPr>
        <w:ind w:firstLine="708"/>
        <w:rPr>
          <w:sz w:val="28"/>
          <w:szCs w:val="28"/>
        </w:rPr>
      </w:pPr>
      <w:r w:rsidRPr="005D10E9">
        <w:rPr>
          <w:sz w:val="28"/>
          <w:szCs w:val="28"/>
        </w:rPr>
        <w:t>Сомнительная дебиторская задолженность по доходам: доход в сумме выявленной</w:t>
      </w:r>
    </w:p>
    <w:p w:rsidR="00F4785E" w:rsidRPr="005D10E9" w:rsidRDefault="00F4785E" w:rsidP="007A1D23">
      <w:pPr>
        <w:pStyle w:val="111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 xml:space="preserve">дебиторской задолженности по результатам инвентаризации, не исполненной должником в срок и не соответствующей критериям актива, признается сомнительной задолженностью. Сомнительная задолженность учитывается  на  </w:t>
      </w:r>
      <w:proofErr w:type="spellStart"/>
      <w:r w:rsidRPr="005D10E9">
        <w:rPr>
          <w:sz w:val="28"/>
          <w:szCs w:val="28"/>
        </w:rPr>
        <w:t>забалансовом</w:t>
      </w:r>
      <w:proofErr w:type="spellEnd"/>
      <w:r w:rsidRPr="005D10E9">
        <w:rPr>
          <w:sz w:val="28"/>
          <w:szCs w:val="28"/>
        </w:rPr>
        <w:t xml:space="preserve"> счете 04. </w:t>
      </w:r>
    </w:p>
    <w:p w:rsidR="00F4785E" w:rsidRPr="005D10E9" w:rsidRDefault="00F4785E" w:rsidP="007A1D23">
      <w:pPr>
        <w:pStyle w:val="111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>Доходы от штрафов, пеней, неустоек, возмещения ущерба:</w:t>
      </w:r>
    </w:p>
    <w:p w:rsidR="00F4785E" w:rsidRPr="005D10E9" w:rsidRDefault="00F4785E" w:rsidP="007A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10E9">
        <w:rPr>
          <w:rFonts w:ascii="Times New Roman" w:eastAsia="Times New Roman" w:hAnsi="Times New Roman" w:cs="Times New Roman"/>
          <w:sz w:val="28"/>
          <w:szCs w:val="28"/>
        </w:rPr>
        <w:t>Датой признания и отражения в учете доходов от штрафов, пеней, неустоек, возмещения ущерба является дата возникновения требования к плательщику штрафов, пеней, неустоек, возмещения ущерба, т.е. при вступлении в силу вынесенного решения по делу об административном правонарушении, определении о наложении судебного штрафа, при предъявлении плательщику документа, устанавливающего право требования по уплате предусмотренных договором неустоек, штрафов, пеней.</w:t>
      </w:r>
      <w:proofErr w:type="gramEnd"/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 Суммы таких доходов признаются в учете в сумме, указанной в документах, подтверждающими право требования. </w:t>
      </w:r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>Доходы от обменных операций: доходы от собственности и реализации активов. Признание в учет</w:t>
      </w:r>
      <w:proofErr w:type="gramStart"/>
      <w:r w:rsidRPr="005D10E9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 в сумме ожидаемого поступления экономических выгод и полезного потенциала.</w:t>
      </w:r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Учетная политика устанавливает Порядок санкционирования расходов. </w:t>
      </w:r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10E9">
        <w:rPr>
          <w:rFonts w:ascii="Times New Roman" w:eastAsia="Times New Roman" w:hAnsi="Times New Roman" w:cs="Times New Roman"/>
          <w:sz w:val="28"/>
          <w:szCs w:val="28"/>
        </w:rPr>
        <w:t>Учет плановых назначений (лимитов бюджетных обязательств, бюджетных ассигнований) по доходам, расходам и источникам финансирования дефицита бюджета осуществляется на счетах санкционирования в разрезе кодов бюджетной классификации, согласно той детализации доходов, расходов и источников финансирования дефицита бюджета по кодам бюджетной классификации, которая предусмотрена при доведении (утверждении) плановых назначений (лимитов бюджетных обязательств, бюджетных ассигнований).</w:t>
      </w:r>
      <w:proofErr w:type="gramEnd"/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lastRenderedPageBreak/>
        <w:t>Учет бюджетных и денежных обязательств осуществляется на основании документов, подтверждающих их принятие.</w:t>
      </w:r>
    </w:p>
    <w:p w:rsidR="00F4785E" w:rsidRPr="005D10E9" w:rsidRDefault="00F4785E" w:rsidP="007A1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E9">
        <w:rPr>
          <w:rFonts w:ascii="Times New Roman" w:eastAsia="Times New Roman" w:hAnsi="Times New Roman" w:cs="Times New Roman"/>
          <w:sz w:val="28"/>
          <w:szCs w:val="28"/>
        </w:rPr>
        <w:t xml:space="preserve">В целях равномерного отнесения расходов на финансовый результат деятельности по обязательствам, не определенным по величине и времени исполнения формируются  резервы предстоящих расходов. </w:t>
      </w:r>
    </w:p>
    <w:p w:rsidR="00F4785E" w:rsidRPr="005D10E9" w:rsidRDefault="00F4785E" w:rsidP="007A1D23">
      <w:pPr>
        <w:pStyle w:val="11"/>
        <w:numPr>
          <w:ilvl w:val="0"/>
          <w:numId w:val="0"/>
        </w:numPr>
        <w:rPr>
          <w:sz w:val="28"/>
          <w:szCs w:val="28"/>
        </w:rPr>
      </w:pPr>
      <w:r w:rsidRPr="005D10E9">
        <w:rPr>
          <w:sz w:val="28"/>
          <w:szCs w:val="28"/>
        </w:rPr>
        <w:t>В учете администрации РМР формируются следующие резервы: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firstLine="709"/>
        <w:rPr>
          <w:sz w:val="28"/>
          <w:szCs w:val="28"/>
        </w:rPr>
      </w:pPr>
      <w:r w:rsidRPr="005D10E9">
        <w:rPr>
          <w:sz w:val="28"/>
          <w:szCs w:val="28"/>
        </w:rPr>
        <w:t>-резерв для оплаты отпусков за фактически отработанное время и компенсаций за неиспользованный отпуск работникам администрации РМР, включая платежи по страховым взносам с указанных сумм (далее – резерв для оплаты отпусков);</w:t>
      </w:r>
    </w:p>
    <w:p w:rsidR="00F4785E" w:rsidRPr="005D10E9" w:rsidRDefault="00F4785E" w:rsidP="007A1D23">
      <w:pPr>
        <w:pStyle w:val="10"/>
        <w:numPr>
          <w:ilvl w:val="0"/>
          <w:numId w:val="0"/>
        </w:numPr>
        <w:ind w:left="709"/>
        <w:rPr>
          <w:sz w:val="28"/>
          <w:szCs w:val="28"/>
        </w:rPr>
      </w:pPr>
      <w:r w:rsidRPr="005D10E9">
        <w:rPr>
          <w:sz w:val="28"/>
          <w:szCs w:val="28"/>
        </w:rPr>
        <w:t>-резерв для оплаты фактически осуществленных затрат, по которым не поступили документы.</w:t>
      </w:r>
    </w:p>
    <w:p w:rsidR="00F4785E" w:rsidRPr="005D10E9" w:rsidRDefault="00F4785E" w:rsidP="007A1D23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Учетная политика устанавливает особенности учета расчетов с подотчетными лицами, расходов на служебные командировки, представительских расходов. Предусмотрено положениями Учетной политики документальное оформление приобретения и вручения подарочной продукции, проведения мероприятий,  передачи документов учета и дел при смене </w:t>
      </w:r>
      <w:r w:rsidR="009D4806">
        <w:rPr>
          <w:sz w:val="28"/>
          <w:szCs w:val="28"/>
        </w:rPr>
        <w:t>главы</w:t>
      </w:r>
      <w:r w:rsidRPr="005D10E9">
        <w:rPr>
          <w:sz w:val="28"/>
          <w:szCs w:val="28"/>
        </w:rPr>
        <w:t xml:space="preserve">  РМР, руководителя МУ ЦФХО РМР». При сдаче авансовых отчётов, возвращать расходы по предоставленным документам, без заявления на выдачу в подотчёт денежных средств.</w:t>
      </w:r>
    </w:p>
    <w:p w:rsidR="00F4785E" w:rsidRPr="005D10E9" w:rsidRDefault="00F4785E" w:rsidP="007A1D23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Инвентаризации имущества и обязатель</w:t>
      </w:r>
      <w:proofErr w:type="gramStart"/>
      <w:r w:rsidRPr="005D10E9">
        <w:rPr>
          <w:sz w:val="28"/>
          <w:szCs w:val="28"/>
        </w:rPr>
        <w:t>ств пр</w:t>
      </w:r>
      <w:proofErr w:type="gramEnd"/>
      <w:r w:rsidRPr="005D10E9">
        <w:rPr>
          <w:sz w:val="28"/>
          <w:szCs w:val="28"/>
        </w:rPr>
        <w:t>оводятся согласно Положению об Инвентаризации, утвержденному Учетной политикой: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Инвентаризация проводится постоянно действующей инвентаризационной комиссией на основании распорядительного документа руководителя учреждения.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Целями инвентаризации являются выявление фактического наличия активов и имущества, сопоставление с данными бухгалтерского учета и проверка полноты отражения в бухгалтерском учете обязательств. 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Инвентаризации подлежит все имущество независимо от его местонахождения, а также все виды обязательств. 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Порядок организации и осуществления внутреннего контроля и внутреннего финансового контроля установлен   Учетной политикой: 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Целью внутреннего контроля администрации Р</w:t>
      </w:r>
      <w:r w:rsidR="00611D9E">
        <w:rPr>
          <w:sz w:val="28"/>
          <w:szCs w:val="28"/>
        </w:rPr>
        <w:t xml:space="preserve">омановского муниципального района </w:t>
      </w:r>
      <w:r w:rsidRPr="005D10E9">
        <w:rPr>
          <w:sz w:val="28"/>
          <w:szCs w:val="28"/>
        </w:rPr>
        <w:t xml:space="preserve"> являются: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-обеспечение соблюдения законодательства РФ, нормативных правовых актов и иных актов, регулирующих финансово-хозяйственную деятельность;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-подтверждение достоверности бюджетного учета  и отчетности;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-повышение уровня ведения бюджетного учета и составления отчетности.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Внутренний контроль в администрации РМР осуществляется в формах предварительного, текущего и последующего контроля. Предварительный контроль проводится до начала совершения финансово-хозяйственной операции с целью определения целесообразности и правомерности.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Предварительный контроль осуществляют: </w:t>
      </w:r>
      <w:r w:rsidR="007A1D23">
        <w:rPr>
          <w:sz w:val="28"/>
          <w:szCs w:val="28"/>
        </w:rPr>
        <w:t>глава муниципального района</w:t>
      </w:r>
      <w:r w:rsidRPr="005D10E9">
        <w:rPr>
          <w:sz w:val="28"/>
          <w:szCs w:val="28"/>
        </w:rPr>
        <w:t>, его заместители, главный бухгалтер, начальник юридической службы, контрактный управляющий и работники МУ «ЦФХО РМР» в соответствии со своими должностными обязанностями.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lastRenderedPageBreak/>
        <w:t>Текущий контроль заключается в проведении повседневного анализа соблюдения процедур исполнения бюджета, составления бюджетной отчетности и ведения учета, целевого расходования бюджетных средств. Ведение  текущего контроля осуществляется на постоянной основе специалистами  отдела учета и отчетности и главным бухгалтером.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Последующий контроль проводится по итогам совершения хозяйственных операций. Он осуществляется путем проведения инвентаризаций активов, обязательств, расчетов и имущества в соответствии с порядком проведения инвентаризаций.         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Внутренний финансовый контроль осуществляется в соответствии с порядком, утвержденным распоряжением администрации </w:t>
      </w:r>
      <w:r w:rsidRPr="00611D9E">
        <w:rPr>
          <w:color w:val="000000" w:themeColor="text1"/>
          <w:sz w:val="28"/>
          <w:szCs w:val="28"/>
        </w:rPr>
        <w:t>Р</w:t>
      </w:r>
      <w:r w:rsidR="00611D9E">
        <w:rPr>
          <w:color w:val="000000" w:themeColor="text1"/>
          <w:sz w:val="28"/>
          <w:szCs w:val="28"/>
        </w:rPr>
        <w:t>омановского муниципального района</w:t>
      </w:r>
      <w:r w:rsidRPr="00611D9E">
        <w:rPr>
          <w:color w:val="FF0000"/>
          <w:sz w:val="28"/>
          <w:szCs w:val="28"/>
        </w:rPr>
        <w:t xml:space="preserve"> </w:t>
      </w:r>
      <w:r w:rsidRPr="005D10E9">
        <w:rPr>
          <w:sz w:val="28"/>
          <w:szCs w:val="28"/>
        </w:rPr>
        <w:t>и положениями Учетной политики.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Контроль по уровню подведомственности осуществляется </w:t>
      </w:r>
      <w:proofErr w:type="gramStart"/>
      <w:r w:rsidRPr="005D10E9">
        <w:rPr>
          <w:sz w:val="28"/>
          <w:szCs w:val="28"/>
        </w:rPr>
        <w:t>–н</w:t>
      </w:r>
      <w:proofErr w:type="gramEnd"/>
      <w:r w:rsidRPr="005D10E9">
        <w:rPr>
          <w:sz w:val="28"/>
          <w:szCs w:val="28"/>
        </w:rPr>
        <w:t xml:space="preserve">аправлен  на установление соответствия предоставленных документов требованиям нормативных правовых актов, регулирующих бюджетные правоотношения. 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Результаты контроля по уровню подведомственности оформляются заключением, уведомлением с указанием необходимости внесения исправлений и устранения недостатков (нарушений) при наличии в установленный срок.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>Результаты самоконтроля и контроля по уровню подчиненности выражаются согласованием, санкционированием документов.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5D10E9">
        <w:rPr>
          <w:sz w:val="28"/>
          <w:szCs w:val="28"/>
        </w:rPr>
        <w:t xml:space="preserve">Ответственным за постановку и ведение налогового учета в администрации РМР является руководитель МУ «ЦФХО РМР». Налоговый учет в администрации РМР ведется автоматизированным способом с применением программы «Налогоплательщик ЮЛ», программы подготовки отчётных документов для ПФР « </w:t>
      </w:r>
      <w:proofErr w:type="spellStart"/>
      <w:r w:rsidRPr="005D10E9">
        <w:rPr>
          <w:sz w:val="28"/>
          <w:szCs w:val="28"/>
        </w:rPr>
        <w:t>Spu_orb</w:t>
      </w:r>
      <w:proofErr w:type="spellEnd"/>
      <w:r w:rsidRPr="005D10E9">
        <w:rPr>
          <w:sz w:val="28"/>
          <w:szCs w:val="28"/>
        </w:rPr>
        <w:t>» и АРМ «Подготовка расчётов для ФСС».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:rsidR="00F4785E" w:rsidRPr="005D10E9" w:rsidRDefault="00F4785E" w:rsidP="00F478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4785E" w:rsidRPr="005D10E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16FF8"/>
    <w:multiLevelType w:val="multilevel"/>
    <w:tmpl w:val="F874F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7141B"/>
    <w:rsid w:val="00077E94"/>
    <w:rsid w:val="000905DB"/>
    <w:rsid w:val="000941DB"/>
    <w:rsid w:val="000A4CCC"/>
    <w:rsid w:val="000E313E"/>
    <w:rsid w:val="000E620D"/>
    <w:rsid w:val="000F796F"/>
    <w:rsid w:val="001247BF"/>
    <w:rsid w:val="00127D98"/>
    <w:rsid w:val="00130383"/>
    <w:rsid w:val="00134E1D"/>
    <w:rsid w:val="001355FC"/>
    <w:rsid w:val="00143C31"/>
    <w:rsid w:val="0014787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A156D"/>
    <w:rsid w:val="002A5E31"/>
    <w:rsid w:val="002B0540"/>
    <w:rsid w:val="002B3404"/>
    <w:rsid w:val="002C6927"/>
    <w:rsid w:val="002D486C"/>
    <w:rsid w:val="002E2DFC"/>
    <w:rsid w:val="002E6AA9"/>
    <w:rsid w:val="002F361C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B6209"/>
    <w:rsid w:val="00433D85"/>
    <w:rsid w:val="00433E9E"/>
    <w:rsid w:val="00435134"/>
    <w:rsid w:val="00436FB4"/>
    <w:rsid w:val="0044232F"/>
    <w:rsid w:val="00442F5B"/>
    <w:rsid w:val="004740B7"/>
    <w:rsid w:val="00482EEE"/>
    <w:rsid w:val="004A2754"/>
    <w:rsid w:val="004A55E7"/>
    <w:rsid w:val="004C5421"/>
    <w:rsid w:val="004C7E15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10E9"/>
    <w:rsid w:val="005D5760"/>
    <w:rsid w:val="005E6D92"/>
    <w:rsid w:val="005F5E86"/>
    <w:rsid w:val="00601494"/>
    <w:rsid w:val="006069C1"/>
    <w:rsid w:val="00611D9E"/>
    <w:rsid w:val="006319CB"/>
    <w:rsid w:val="0064314B"/>
    <w:rsid w:val="006858EF"/>
    <w:rsid w:val="00693DEE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A1D23"/>
    <w:rsid w:val="007B3514"/>
    <w:rsid w:val="007C0097"/>
    <w:rsid w:val="007C3AF0"/>
    <w:rsid w:val="00806E3E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E7B58"/>
    <w:rsid w:val="008F462D"/>
    <w:rsid w:val="00900C23"/>
    <w:rsid w:val="0090436E"/>
    <w:rsid w:val="0090475E"/>
    <w:rsid w:val="009072DE"/>
    <w:rsid w:val="00913A3C"/>
    <w:rsid w:val="00915FC0"/>
    <w:rsid w:val="00934B43"/>
    <w:rsid w:val="00943036"/>
    <w:rsid w:val="009559B6"/>
    <w:rsid w:val="00964A50"/>
    <w:rsid w:val="00971413"/>
    <w:rsid w:val="0099682C"/>
    <w:rsid w:val="009A262C"/>
    <w:rsid w:val="009B0162"/>
    <w:rsid w:val="009D2D46"/>
    <w:rsid w:val="009D4806"/>
    <w:rsid w:val="009D51D6"/>
    <w:rsid w:val="009E20D3"/>
    <w:rsid w:val="009E2D78"/>
    <w:rsid w:val="009E4B59"/>
    <w:rsid w:val="009F00E2"/>
    <w:rsid w:val="009F2CE6"/>
    <w:rsid w:val="00A05709"/>
    <w:rsid w:val="00A05D19"/>
    <w:rsid w:val="00A10E43"/>
    <w:rsid w:val="00A11991"/>
    <w:rsid w:val="00A15743"/>
    <w:rsid w:val="00A33B39"/>
    <w:rsid w:val="00A43435"/>
    <w:rsid w:val="00A468BB"/>
    <w:rsid w:val="00A526D3"/>
    <w:rsid w:val="00A55C72"/>
    <w:rsid w:val="00A57ADA"/>
    <w:rsid w:val="00A71E73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65B34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A40A5"/>
    <w:rsid w:val="00DC5C56"/>
    <w:rsid w:val="00DD274F"/>
    <w:rsid w:val="00DD28C0"/>
    <w:rsid w:val="00DE1B26"/>
    <w:rsid w:val="00DE1EC9"/>
    <w:rsid w:val="00DF0F9C"/>
    <w:rsid w:val="00E32DAD"/>
    <w:rsid w:val="00E577C2"/>
    <w:rsid w:val="00E70ECD"/>
    <w:rsid w:val="00E722AD"/>
    <w:rsid w:val="00E86CE9"/>
    <w:rsid w:val="00E95D18"/>
    <w:rsid w:val="00EA1ACF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262E0"/>
    <w:rsid w:val="00F4785E"/>
    <w:rsid w:val="00F93D5C"/>
    <w:rsid w:val="00FA0F2F"/>
    <w:rsid w:val="00FA56F5"/>
    <w:rsid w:val="00FA5FA7"/>
    <w:rsid w:val="00FA7B61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2">
    <w:name w:val="heading 1"/>
    <w:basedOn w:val="a0"/>
    <w:next w:val="a0"/>
    <w:link w:val="13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2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"/>
    <w:basedOn w:val="a0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9682C"/>
    <w:rPr>
      <w:b/>
      <w:bCs/>
      <w:color w:val="000000"/>
    </w:rPr>
  </w:style>
  <w:style w:type="paragraph" w:styleId="a9">
    <w:name w:val="Title"/>
    <w:basedOn w:val="a0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азвание Знак"/>
    <w:basedOn w:val="a1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0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1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0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1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0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0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1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0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0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 1 Знак"/>
    <w:basedOn w:val="a1"/>
    <w:link w:val="12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Гипертекстовая ссылка"/>
    <w:basedOn w:val="a1"/>
    <w:uiPriority w:val="99"/>
    <w:rsid w:val="00D429A1"/>
    <w:rPr>
      <w:color w:val="106BBE"/>
    </w:rPr>
  </w:style>
  <w:style w:type="paragraph" w:styleId="af3">
    <w:name w:val="Body Text"/>
    <w:basedOn w:val="a0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Выделение1"/>
    <w:basedOn w:val="a1"/>
    <w:rsid w:val="002B3404"/>
  </w:style>
  <w:style w:type="paragraph" w:customStyle="1" w:styleId="15">
    <w:name w:val="Абзац списка1"/>
    <w:basedOn w:val="a0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0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0"/>
    <w:rsid w:val="009F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 приложения 1."/>
    <w:basedOn w:val="a0"/>
    <w:rsid w:val="00F4785E"/>
    <w:pPr>
      <w:numPr>
        <w:numId w:val="10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Стиль приложения 1.1."/>
    <w:basedOn w:val="a0"/>
    <w:rsid w:val="00F4785E"/>
    <w:pPr>
      <w:numPr>
        <w:ilvl w:val="1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приложения 1.1.1."/>
    <w:basedOn w:val="a0"/>
    <w:rsid w:val="00F4785E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приложения 1.1.1.1."/>
    <w:basedOn w:val="a0"/>
    <w:rsid w:val="00F4785E"/>
    <w:pPr>
      <w:numPr>
        <w:ilvl w:val="3"/>
        <w:numId w:val="10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риложения_1)"/>
    <w:basedOn w:val="a0"/>
    <w:rsid w:val="00F4785E"/>
    <w:pPr>
      <w:numPr>
        <w:ilvl w:val="4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риложения_а)"/>
    <w:basedOn w:val="a0"/>
    <w:rsid w:val="00F4785E"/>
    <w:pPr>
      <w:numPr>
        <w:ilvl w:val="5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2">
    <w:name w:val="heading 1"/>
    <w:basedOn w:val="a0"/>
    <w:next w:val="a0"/>
    <w:link w:val="13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2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"/>
    <w:basedOn w:val="a0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9682C"/>
    <w:rPr>
      <w:b/>
      <w:bCs/>
      <w:color w:val="000000"/>
    </w:rPr>
  </w:style>
  <w:style w:type="paragraph" w:styleId="a9">
    <w:name w:val="Title"/>
    <w:basedOn w:val="a0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азвание Знак"/>
    <w:basedOn w:val="a1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0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1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0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1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0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0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1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0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0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 1 Знак"/>
    <w:basedOn w:val="a1"/>
    <w:link w:val="12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Гипертекстовая ссылка"/>
    <w:basedOn w:val="a1"/>
    <w:uiPriority w:val="99"/>
    <w:rsid w:val="00D429A1"/>
    <w:rPr>
      <w:color w:val="106BBE"/>
    </w:rPr>
  </w:style>
  <w:style w:type="paragraph" w:styleId="af3">
    <w:name w:val="Body Text"/>
    <w:basedOn w:val="a0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Выделение1"/>
    <w:basedOn w:val="a1"/>
    <w:rsid w:val="002B3404"/>
  </w:style>
  <w:style w:type="paragraph" w:customStyle="1" w:styleId="15">
    <w:name w:val="Абзац списка1"/>
    <w:basedOn w:val="a0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0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0"/>
    <w:rsid w:val="009F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 приложения 1."/>
    <w:basedOn w:val="a0"/>
    <w:rsid w:val="00F4785E"/>
    <w:pPr>
      <w:numPr>
        <w:numId w:val="10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Стиль приложения 1.1."/>
    <w:basedOn w:val="a0"/>
    <w:rsid w:val="00F4785E"/>
    <w:pPr>
      <w:numPr>
        <w:ilvl w:val="1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приложения 1.1.1."/>
    <w:basedOn w:val="a0"/>
    <w:rsid w:val="00F4785E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приложения 1.1.1.1."/>
    <w:basedOn w:val="a0"/>
    <w:rsid w:val="00F4785E"/>
    <w:pPr>
      <w:numPr>
        <w:ilvl w:val="3"/>
        <w:numId w:val="10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риложения_1)"/>
    <w:basedOn w:val="a0"/>
    <w:rsid w:val="00F4785E"/>
    <w:pPr>
      <w:numPr>
        <w:ilvl w:val="4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риложения_а)"/>
    <w:basedOn w:val="a0"/>
    <w:rsid w:val="00F4785E"/>
    <w:pPr>
      <w:numPr>
        <w:ilvl w:val="5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A8D9-8326-4BB8-A097-7E991337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2022-06-14T05:48:00Z</cp:lastPrinted>
  <dcterms:created xsi:type="dcterms:W3CDTF">2022-06-14T05:46:00Z</dcterms:created>
  <dcterms:modified xsi:type="dcterms:W3CDTF">2022-06-14T05:48:00Z</dcterms:modified>
</cp:coreProperties>
</file>