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Layout w:type="fixed"/>
        <w:tblLook w:val="0000"/>
      </w:tblPr>
      <w:tblGrid>
        <w:gridCol w:w="420"/>
        <w:gridCol w:w="9460"/>
        <w:gridCol w:w="420"/>
      </w:tblGrid>
      <w:tr w:rsidR="00030D46" w:rsidRPr="00030D46" w:rsidTr="00CA4CC0">
        <w:tblPrEx>
          <w:tblCellMar>
            <w:top w:w="0" w:type="dxa"/>
            <w:bottom w:w="0" w:type="dxa"/>
          </w:tblCellMar>
        </w:tblPrEx>
        <w:tc>
          <w:tcPr>
            <w:tcW w:w="420" w:type="dxa"/>
            <w:tcBorders>
              <w:top w:val="single" w:sz="4" w:space="0" w:color="FAF3E9"/>
              <w:left w:val="single" w:sz="4" w:space="0" w:color="FAF3E9"/>
              <w:bottom w:val="single" w:sz="4" w:space="0" w:color="FAF3E9"/>
              <w:right w:val="single" w:sz="4" w:space="0" w:color="FAF3E9"/>
            </w:tcBorders>
            <w:shd w:val="clear" w:color="auto" w:fill="FAF3E9"/>
          </w:tcPr>
          <w:p w:rsidR="00030D46" w:rsidRPr="00030D46" w:rsidRDefault="00030D46" w:rsidP="00030D46">
            <w:pPr>
              <w:pStyle w:val="a6"/>
              <w:jc w:val="both"/>
              <w:rPr>
                <w:rFonts w:ascii="Times New Roman" w:hAnsi="Times New Roman" w:cs="Times New Roman"/>
                <w:sz w:val="28"/>
                <w:szCs w:val="28"/>
              </w:rPr>
            </w:pPr>
          </w:p>
        </w:tc>
        <w:tc>
          <w:tcPr>
            <w:tcW w:w="9460" w:type="dxa"/>
            <w:tcBorders>
              <w:top w:val="single" w:sz="4" w:space="0" w:color="FAF3E9"/>
              <w:left w:val="single" w:sz="4" w:space="0" w:color="FAF3E9"/>
              <w:bottom w:val="single" w:sz="4" w:space="0" w:color="FAF3E9"/>
              <w:right w:val="single" w:sz="4" w:space="0" w:color="FAF3E9"/>
            </w:tcBorders>
            <w:shd w:val="clear" w:color="auto" w:fill="FAF3E9"/>
          </w:tcPr>
          <w:p w:rsidR="00030D46" w:rsidRPr="00030D46" w:rsidRDefault="00030D46" w:rsidP="00030D46">
            <w:pPr>
              <w:pStyle w:val="a6"/>
              <w:jc w:val="both"/>
              <w:rPr>
                <w:rFonts w:ascii="Times New Roman" w:hAnsi="Times New Roman" w:cs="Times New Roman"/>
                <w:sz w:val="28"/>
                <w:szCs w:val="28"/>
              </w:rPr>
            </w:pPr>
            <w:r w:rsidRPr="00030D46">
              <w:rPr>
                <w:rStyle w:val="a3"/>
                <w:rFonts w:ascii="Times New Roman" w:hAnsi="Times New Roman" w:cs="Times New Roman"/>
                <w:sz w:val="28"/>
                <w:szCs w:val="28"/>
              </w:rPr>
              <w:t>Однотипные нарушения трудового законодательства образуют единый состав административного правонарушения</w:t>
            </w:r>
          </w:p>
          <w:p w:rsidR="00030D46" w:rsidRPr="00030D46" w:rsidRDefault="00030D46" w:rsidP="00030D46">
            <w:pPr>
              <w:pStyle w:val="a6"/>
              <w:jc w:val="both"/>
              <w:rPr>
                <w:rFonts w:ascii="Times New Roman" w:hAnsi="Times New Roman" w:cs="Times New Roman"/>
                <w:sz w:val="28"/>
                <w:szCs w:val="28"/>
              </w:rPr>
            </w:pPr>
          </w:p>
        </w:tc>
        <w:tc>
          <w:tcPr>
            <w:tcW w:w="420" w:type="dxa"/>
            <w:tcBorders>
              <w:top w:val="single" w:sz="4" w:space="0" w:color="FAF3E9"/>
              <w:left w:val="single" w:sz="4" w:space="0" w:color="FAF3E9"/>
              <w:bottom w:val="single" w:sz="4" w:space="0" w:color="FAF3E9"/>
              <w:right w:val="single" w:sz="4" w:space="0" w:color="FAF3E9"/>
            </w:tcBorders>
            <w:shd w:val="clear" w:color="auto" w:fill="FAF3E9"/>
          </w:tcPr>
          <w:p w:rsidR="00030D46" w:rsidRPr="00030D46" w:rsidRDefault="00030D46" w:rsidP="00030D46">
            <w:pPr>
              <w:pStyle w:val="a6"/>
              <w:jc w:val="both"/>
              <w:rPr>
                <w:rFonts w:ascii="Times New Roman" w:hAnsi="Times New Roman" w:cs="Times New Roman"/>
                <w:sz w:val="28"/>
                <w:szCs w:val="28"/>
              </w:rPr>
            </w:pPr>
          </w:p>
        </w:tc>
      </w:tr>
      <w:tr w:rsidR="00030D46" w:rsidRPr="00030D46" w:rsidTr="00CA4CC0">
        <w:tblPrEx>
          <w:tblCellMar>
            <w:top w:w="0" w:type="dxa"/>
            <w:bottom w:w="0" w:type="dxa"/>
          </w:tblCellMar>
        </w:tblPrEx>
        <w:trPr>
          <w:trHeight w:val="240"/>
        </w:trPr>
        <w:tc>
          <w:tcPr>
            <w:tcW w:w="10300" w:type="dxa"/>
            <w:gridSpan w:val="3"/>
            <w:tcBorders>
              <w:top w:val="single" w:sz="4" w:space="0" w:color="FFFFFF"/>
              <w:left w:val="single" w:sz="4" w:space="0" w:color="FFFFFF"/>
              <w:bottom w:val="single" w:sz="4" w:space="0" w:color="FFFFFF"/>
              <w:right w:val="single" w:sz="4" w:space="0" w:color="FFFFFF"/>
            </w:tcBorders>
          </w:tcPr>
          <w:p w:rsidR="00030D46" w:rsidRPr="00030D46" w:rsidRDefault="00030D46" w:rsidP="00030D46">
            <w:pPr>
              <w:pStyle w:val="a6"/>
              <w:jc w:val="both"/>
              <w:rPr>
                <w:rFonts w:ascii="Times New Roman" w:hAnsi="Times New Roman" w:cs="Times New Roman"/>
                <w:sz w:val="28"/>
                <w:szCs w:val="28"/>
              </w:rPr>
            </w:pPr>
          </w:p>
        </w:tc>
      </w:tr>
    </w:tbl>
    <w:p w:rsidR="00030D46" w:rsidRPr="00030D46" w:rsidRDefault="00030D46" w:rsidP="00030D46">
      <w:pPr>
        <w:pStyle w:val="a6"/>
        <w:jc w:val="both"/>
        <w:rPr>
          <w:rFonts w:ascii="Times New Roman" w:hAnsi="Times New Roman" w:cs="Times New Roman"/>
          <w:sz w:val="28"/>
          <w:szCs w:val="28"/>
        </w:rPr>
      </w:pPr>
      <w:hyperlink r:id="rId4" w:history="1">
        <w:r w:rsidRPr="00030D46">
          <w:rPr>
            <w:rStyle w:val="a4"/>
            <w:rFonts w:ascii="Times New Roman" w:hAnsi="Times New Roman" w:cs="Times New Roman"/>
            <w:sz w:val="28"/>
            <w:szCs w:val="28"/>
          </w:rPr>
          <w:t>Постановление Верховного Суда РФ от 1 октября 2018 г. N 41-АД18-21</w:t>
        </w:r>
      </w:hyperlink>
    </w:p>
    <w:p w:rsidR="00030D46" w:rsidRPr="00030D46" w:rsidRDefault="00030D46" w:rsidP="00030D46">
      <w:pPr>
        <w:pStyle w:val="a6"/>
        <w:ind w:firstLine="708"/>
        <w:jc w:val="both"/>
        <w:rPr>
          <w:rFonts w:ascii="Times New Roman" w:hAnsi="Times New Roman" w:cs="Times New Roman"/>
          <w:sz w:val="28"/>
          <w:szCs w:val="28"/>
        </w:rPr>
      </w:pPr>
      <w:r w:rsidRPr="00030D46">
        <w:rPr>
          <w:rFonts w:ascii="Times New Roman" w:hAnsi="Times New Roman" w:cs="Times New Roman"/>
          <w:sz w:val="28"/>
          <w:szCs w:val="28"/>
        </w:rPr>
        <w:t xml:space="preserve">В Верховном Суде РФ рассматривался спор о правомерности привлечения должностного лица работодателя к административной ответственности по </w:t>
      </w:r>
      <w:hyperlink r:id="rId5" w:history="1">
        <w:r w:rsidRPr="00030D46">
          <w:rPr>
            <w:rStyle w:val="a4"/>
            <w:rFonts w:ascii="Times New Roman" w:hAnsi="Times New Roman" w:cs="Times New Roman"/>
            <w:sz w:val="28"/>
            <w:szCs w:val="28"/>
          </w:rPr>
          <w:t>ч. 1 ст. 5.27</w:t>
        </w:r>
      </w:hyperlink>
      <w:r w:rsidRPr="00030D46">
        <w:rPr>
          <w:rFonts w:ascii="Times New Roman" w:hAnsi="Times New Roman" w:cs="Times New Roman"/>
          <w:sz w:val="28"/>
          <w:szCs w:val="28"/>
        </w:rPr>
        <w:t xml:space="preserve"> </w:t>
      </w:r>
      <w:proofErr w:type="spellStart"/>
      <w:r w:rsidRPr="00030D46">
        <w:rPr>
          <w:rFonts w:ascii="Times New Roman" w:hAnsi="Times New Roman" w:cs="Times New Roman"/>
          <w:sz w:val="28"/>
          <w:szCs w:val="28"/>
        </w:rPr>
        <w:t>КоАП</w:t>
      </w:r>
      <w:proofErr w:type="spellEnd"/>
      <w:r w:rsidRPr="00030D46">
        <w:rPr>
          <w:rFonts w:ascii="Times New Roman" w:hAnsi="Times New Roman" w:cs="Times New Roman"/>
          <w:sz w:val="28"/>
          <w:szCs w:val="28"/>
        </w:rPr>
        <w:t xml:space="preserve"> РФ.</w:t>
      </w:r>
    </w:p>
    <w:p w:rsidR="00030D46" w:rsidRPr="00030D46" w:rsidRDefault="00030D46" w:rsidP="00030D46">
      <w:pPr>
        <w:pStyle w:val="a6"/>
        <w:ind w:firstLine="708"/>
        <w:jc w:val="both"/>
        <w:rPr>
          <w:rFonts w:ascii="Times New Roman" w:hAnsi="Times New Roman" w:cs="Times New Roman"/>
          <w:sz w:val="28"/>
          <w:szCs w:val="28"/>
        </w:rPr>
      </w:pPr>
      <w:r w:rsidRPr="00030D46">
        <w:rPr>
          <w:rFonts w:ascii="Times New Roman" w:hAnsi="Times New Roman" w:cs="Times New Roman"/>
          <w:sz w:val="28"/>
          <w:szCs w:val="28"/>
        </w:rPr>
        <w:t>Как было установлено в ходе рассмотрения дела, в ГИТ обратилось сразу несколько работников с жалобой на нарушения, допущенные работодателем при их увольнении в связи с сокращением. На основании этих обращений ГИТ провела две проверки: одну - в период с 4 по 17 апреля, вторую - в период с 6 по 17 апреля 2017 года. В ходе этих проверок действительно был выявлен ряд нарушений, которые были зафиксированы в соответствующих актах. Это послужило основанием для составления двух отдельных протоколов об административных нарушениях и вынесения отдельных постановлений о назначении административных наказаний.</w:t>
      </w:r>
    </w:p>
    <w:p w:rsidR="00030D46" w:rsidRPr="00030D46" w:rsidRDefault="00030D46" w:rsidP="00030D46">
      <w:pPr>
        <w:pStyle w:val="a6"/>
        <w:ind w:firstLine="708"/>
        <w:jc w:val="both"/>
        <w:rPr>
          <w:rFonts w:ascii="Times New Roman" w:hAnsi="Times New Roman" w:cs="Times New Roman"/>
          <w:sz w:val="28"/>
          <w:szCs w:val="28"/>
        </w:rPr>
      </w:pPr>
      <w:r w:rsidRPr="00030D46">
        <w:rPr>
          <w:rFonts w:ascii="Times New Roman" w:hAnsi="Times New Roman" w:cs="Times New Roman"/>
          <w:sz w:val="28"/>
          <w:szCs w:val="28"/>
        </w:rPr>
        <w:t>Верховный Суд РФ посчитал такие действия инспекции незаконными. Судья заключил, что вмененное должностному лицу деяние не образует состава двух административных правонарушений. То обстоятельство, что нарушения трудового законодательства выявлены по материалам двух внеплановых документарных проверок, касаются разных работников, в отношении одного из которых допущен больший объем нарушений, применительно к данному делу не было сочтено основанием для назначения самостоятельных наказаний.</w:t>
      </w:r>
    </w:p>
    <w:p w:rsidR="00030D46" w:rsidRPr="00030D46" w:rsidRDefault="00030D46" w:rsidP="00030D46">
      <w:pPr>
        <w:pStyle w:val="a6"/>
        <w:ind w:firstLine="708"/>
        <w:jc w:val="both"/>
        <w:rPr>
          <w:rFonts w:ascii="Times New Roman" w:hAnsi="Times New Roman" w:cs="Times New Roman"/>
          <w:sz w:val="28"/>
          <w:szCs w:val="28"/>
        </w:rPr>
      </w:pPr>
      <w:r w:rsidRPr="00030D46">
        <w:rPr>
          <w:rFonts w:ascii="Times New Roman" w:hAnsi="Times New Roman" w:cs="Times New Roman"/>
          <w:sz w:val="28"/>
          <w:szCs w:val="28"/>
        </w:rPr>
        <w:t>Судья отметил, что проведение в отношении лица нескольких проверок не исключает вынесение по их результатам одного постановления о привлечении к административной ответственности в случае, если в ходе их проведения выявлен один и тот же факт совершения противоправных действий (бездействия).</w:t>
      </w:r>
    </w:p>
    <w:p w:rsidR="00030D46" w:rsidRPr="00030D46" w:rsidRDefault="00030D46" w:rsidP="00030D46">
      <w:pPr>
        <w:pStyle w:val="a6"/>
        <w:ind w:firstLine="708"/>
        <w:jc w:val="both"/>
        <w:rPr>
          <w:rFonts w:ascii="Times New Roman" w:hAnsi="Times New Roman" w:cs="Times New Roman"/>
          <w:sz w:val="28"/>
          <w:szCs w:val="28"/>
        </w:rPr>
      </w:pPr>
      <w:r w:rsidRPr="00030D46">
        <w:rPr>
          <w:rFonts w:ascii="Times New Roman" w:hAnsi="Times New Roman" w:cs="Times New Roman"/>
          <w:sz w:val="28"/>
          <w:szCs w:val="28"/>
        </w:rPr>
        <w:t>В связи с этим один из назначенных должностному лицу работодателя штрафов был отменен.</w:t>
      </w:r>
    </w:p>
    <w:p w:rsidR="00DC5D02" w:rsidRPr="00030D46" w:rsidRDefault="00DC5D02" w:rsidP="00030D46">
      <w:pPr>
        <w:pStyle w:val="a6"/>
        <w:jc w:val="both"/>
        <w:rPr>
          <w:rFonts w:ascii="Times New Roman" w:hAnsi="Times New Roman" w:cs="Times New Roman"/>
          <w:sz w:val="28"/>
          <w:szCs w:val="28"/>
        </w:rPr>
      </w:pPr>
    </w:p>
    <w:sectPr w:rsidR="00DC5D02" w:rsidRPr="00030D4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030D46"/>
    <w:rsid w:val="00030D46"/>
    <w:rsid w:val="00DC5D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030D46"/>
    <w:rPr>
      <w:b/>
      <w:bCs/>
      <w:color w:val="26282F"/>
    </w:rPr>
  </w:style>
  <w:style w:type="character" w:customStyle="1" w:styleId="a4">
    <w:name w:val="Гипертекстовая ссылка"/>
    <w:basedOn w:val="a3"/>
    <w:uiPriority w:val="99"/>
    <w:rsid w:val="00030D46"/>
    <w:rPr>
      <w:color w:val="106BBE"/>
    </w:rPr>
  </w:style>
  <w:style w:type="paragraph" w:customStyle="1" w:styleId="a5">
    <w:name w:val="Нормальный (таблица)"/>
    <w:basedOn w:val="a"/>
    <w:next w:val="a"/>
    <w:uiPriority w:val="99"/>
    <w:rsid w:val="00030D46"/>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paragraph" w:styleId="a6">
    <w:name w:val="No Spacing"/>
    <w:uiPriority w:val="1"/>
    <w:qFormat/>
    <w:rsid w:val="00030D4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ivo.garant.ru/document?id=12025267&amp;sub=52701" TargetMode="External"/><Relationship Id="rId4" Type="http://schemas.openxmlformats.org/officeDocument/2006/relationships/hyperlink" Target="http://ivo.garant.ru/document?id=71999676&amp;su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289</Words>
  <Characters>1651</Characters>
  <Application>Microsoft Office Word</Application>
  <DocSecurity>0</DocSecurity>
  <Lines>13</Lines>
  <Paragraphs>3</Paragraphs>
  <ScaleCrop>false</ScaleCrop>
  <Company>Microsoft</Company>
  <LinksUpToDate>false</LinksUpToDate>
  <CharactersWithSpaces>1937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2018-12-17T12:20:00Z</dcterms:created>
  <dcterms:modified xsi:type="dcterms:W3CDTF">2018-12-17T12:22:00Z</dcterms:modified>
</cp:coreProperties>
</file>